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FABA" w14:textId="22331750" w:rsidR="0041126D" w:rsidRPr="004D40EA" w:rsidRDefault="0041126D" w:rsidP="0041126D">
      <w:pPr>
        <w:pStyle w:val="Heading2AA"/>
        <w:tabs>
          <w:tab w:val="left" w:pos="7980"/>
        </w:tabs>
        <w:spacing w:before="0" w:after="0"/>
        <w:contextualSpacing/>
        <w:outlineLvl w:val="9"/>
        <w:rPr>
          <w:rFonts w:ascii="Avenir Next LT Pro" w:hAnsi="Avenir Next LT Pro"/>
          <w:sz w:val="22"/>
          <w:szCs w:val="22"/>
        </w:rPr>
      </w:pPr>
      <w:bookmarkStart w:id="0" w:name="_Toc291665159"/>
      <w:r w:rsidRPr="004D40EA">
        <w:rPr>
          <w:rFonts w:ascii="Avenir Next LT Pro" w:hAnsi="Avenir Next LT Pro"/>
          <w:sz w:val="22"/>
          <w:szCs w:val="22"/>
        </w:rPr>
        <w:tab/>
      </w:r>
    </w:p>
    <w:p w14:paraId="79929ED0" w14:textId="77777777" w:rsidR="0041126D" w:rsidRPr="004D40EA" w:rsidRDefault="0041126D" w:rsidP="0041126D">
      <w:pPr>
        <w:pStyle w:val="Heading2AA"/>
        <w:spacing w:before="0" w:after="0"/>
        <w:contextualSpacing/>
        <w:outlineLvl w:val="9"/>
        <w:rPr>
          <w:rFonts w:ascii="Avenir Next LT Pro" w:hAnsi="Avenir Next LT Pro"/>
          <w:sz w:val="22"/>
          <w:szCs w:val="22"/>
        </w:rPr>
      </w:pPr>
    </w:p>
    <w:p w14:paraId="08E38B5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bookmarkStart w:id="1" w:name="TOC234227545"/>
      <w:bookmarkStart w:id="2" w:name="_Toc291240357"/>
      <w:bookmarkEnd w:id="1"/>
    </w:p>
    <w:p w14:paraId="1C64A91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5CB70109"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73AFACE1"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3588222F"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2943506"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AC2F9C0"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r w:rsidRPr="004D40EA">
        <w:rPr>
          <w:rStyle w:val="Strong1"/>
          <w:rFonts w:ascii="Avenir Next LT Pro" w:hAnsi="Avenir Next LT Pro"/>
          <w:sz w:val="36"/>
          <w:szCs w:val="36"/>
          <w:u w:val="single"/>
        </w:rPr>
        <w:t>AmeriCorps Performance Measures Instructions</w:t>
      </w:r>
    </w:p>
    <w:p w14:paraId="34F41B0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13BDEB6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AmeriCorps State and National</w:t>
      </w:r>
    </w:p>
    <w:p w14:paraId="77FCC507"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371F8BFD" w14:textId="6D2AB7E8"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202</w:t>
      </w:r>
      <w:r w:rsidR="00DE12F7">
        <w:rPr>
          <w:rStyle w:val="Strong1"/>
          <w:rFonts w:ascii="Avenir Next LT Pro" w:hAnsi="Avenir Next LT Pro"/>
          <w:sz w:val="32"/>
          <w:szCs w:val="32"/>
        </w:rPr>
        <w:t>6</w:t>
      </w:r>
      <w:r w:rsidRPr="004D40EA">
        <w:rPr>
          <w:rStyle w:val="Strong1"/>
          <w:rFonts w:ascii="Avenir Next LT Pro" w:hAnsi="Avenir Next LT Pro"/>
          <w:sz w:val="32"/>
          <w:szCs w:val="32"/>
        </w:rPr>
        <w:t xml:space="preserve"> </w:t>
      </w:r>
    </w:p>
    <w:p w14:paraId="504A38DC"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4A74227E" w14:textId="77777777" w:rsidR="0041126D" w:rsidRPr="004D40EA" w:rsidRDefault="0041126D" w:rsidP="0041126D">
      <w:pPr>
        <w:spacing w:after="0" w:line="240" w:lineRule="auto"/>
        <w:contextualSpacing/>
        <w:jc w:val="center"/>
        <w:rPr>
          <w:rStyle w:val="Strong1"/>
          <w:rFonts w:ascii="Avenir Next LT Pro" w:hAnsi="Avenir Next LT Pro"/>
          <w:i/>
          <w:sz w:val="32"/>
          <w:szCs w:val="32"/>
        </w:rPr>
      </w:pPr>
    </w:p>
    <w:p w14:paraId="645C1C0E" w14:textId="77777777" w:rsidR="0041126D" w:rsidRPr="004D40EA" w:rsidRDefault="0041126D" w:rsidP="0041126D">
      <w:pPr>
        <w:rPr>
          <w:rStyle w:val="Strong1"/>
          <w:rFonts w:ascii="Avenir Next LT Pro" w:hAnsi="Avenir Next LT Pro"/>
          <w:sz w:val="32"/>
          <w:szCs w:val="32"/>
        </w:rPr>
      </w:pPr>
      <w:r w:rsidRPr="004D40EA">
        <w:rPr>
          <w:rStyle w:val="Strong1"/>
          <w:rFonts w:ascii="Avenir Next LT Pro" w:hAnsi="Avenir Next LT Pro"/>
          <w:sz w:val="32"/>
          <w:szCs w:val="32"/>
        </w:rPr>
        <w:br w:type="page"/>
      </w:r>
    </w:p>
    <w:p w14:paraId="3CAD2E96" w14:textId="46811DAB" w:rsidR="0041126D" w:rsidRPr="004D40EA" w:rsidRDefault="0041126D" w:rsidP="0041126D">
      <w:pPr>
        <w:pStyle w:val="TOCHeading"/>
        <w:rPr>
          <w:rFonts w:ascii="Avenir Next LT Pro" w:hAnsi="Avenir Next LT Pro"/>
        </w:rPr>
      </w:pPr>
      <w:r w:rsidRPr="004D40EA">
        <w:rPr>
          <w:rFonts w:ascii="Avenir Next LT Pro" w:hAnsi="Avenir Next LT Pro"/>
        </w:rPr>
        <w:lastRenderedPageBreak/>
        <w:t>Table of Contents</w:t>
      </w:r>
      <w:r>
        <w:br/>
      </w:r>
    </w:p>
    <w:p w14:paraId="5AE100BD" w14:textId="4252501D" w:rsidR="0041126D" w:rsidRPr="004D40EA" w:rsidRDefault="0041126D" w:rsidP="0041126D">
      <w:pPr>
        <w:pStyle w:val="TOC1"/>
        <w:rPr>
          <w:rFonts w:ascii="Avenir Next LT Pro" w:hAnsi="Avenir Next LT Pro"/>
        </w:rPr>
      </w:pPr>
      <w:r w:rsidRPr="004D40EA">
        <w:rPr>
          <w:rFonts w:ascii="Avenir Next LT Pro" w:hAnsi="Avenir Next LT Pro"/>
        </w:rPr>
        <w:fldChar w:fldCharType="begin"/>
      </w:r>
      <w:r w:rsidRPr="004D40EA">
        <w:rPr>
          <w:rFonts w:ascii="Avenir Next LT Pro" w:hAnsi="Avenir Next LT Pro"/>
        </w:rPr>
        <w:instrText xml:space="preserve"> TOC \o "1-3" \h \z \u </w:instrText>
      </w:r>
      <w:r w:rsidRPr="004D40EA">
        <w:rPr>
          <w:rFonts w:ascii="Avenir Next LT Pro" w:hAnsi="Avenir Next LT Pro"/>
        </w:rPr>
        <w:fldChar w:fldCharType="separate"/>
      </w:r>
      <w:hyperlink w:anchor="_Toc518377548" w:history="1">
        <w:r w:rsidRPr="004D40EA">
          <w:rPr>
            <w:rStyle w:val="Hyperlink"/>
            <w:rFonts w:ascii="Avenir Next LT Pro" w:hAnsi="Avenir Next LT Pro"/>
          </w:rPr>
          <w:t>AmeriCorps State and National Performance Measure Requirements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_Toc518377548 \h </w:instrText>
        </w:r>
        <w:r w:rsidRPr="004D40EA">
          <w:rPr>
            <w:rFonts w:ascii="Avenir Next LT Pro" w:hAnsi="Avenir Next LT Pro"/>
            <w:webHidden/>
          </w:rPr>
        </w:r>
        <w:r w:rsidRPr="004D40EA">
          <w:rPr>
            <w:rFonts w:ascii="Avenir Next LT Pro" w:hAnsi="Avenir Next LT Pro"/>
            <w:webHidden/>
          </w:rPr>
          <w:fldChar w:fldCharType="separate"/>
        </w:r>
        <w:r w:rsidR="00855FA6">
          <w:rPr>
            <w:rFonts w:ascii="Avenir Next LT Pro" w:hAnsi="Avenir Next LT Pro"/>
            <w:webHidden/>
          </w:rPr>
          <w:t>3</w:t>
        </w:r>
        <w:r w:rsidRPr="004D40EA">
          <w:rPr>
            <w:rFonts w:ascii="Avenir Next LT Pro" w:hAnsi="Avenir Next LT Pro"/>
            <w:webHidden/>
          </w:rPr>
          <w:fldChar w:fldCharType="end"/>
        </w:r>
      </w:hyperlink>
    </w:p>
    <w:p w14:paraId="04E6411C" w14:textId="29CE8079" w:rsidR="0041126D" w:rsidRPr="004D40EA" w:rsidRDefault="00E860CF" w:rsidP="0041126D">
      <w:pPr>
        <w:pStyle w:val="TOC1"/>
        <w:rPr>
          <w:rFonts w:ascii="Avenir Next LT Pro" w:hAnsi="Avenir Next LT Pro"/>
        </w:rPr>
      </w:pPr>
      <w:hyperlink w:anchor="_Toc518377549" w:history="1">
        <w:r w:rsidR="0041126D" w:rsidRPr="004D40EA">
          <w:rPr>
            <w:rStyle w:val="Hyperlink"/>
            <w:rFonts w:ascii="Avenir Next LT Pro" w:hAnsi="Avenir Next LT Pro"/>
          </w:rPr>
          <w:t>AmeriCorps State and National Performance Measures Selection Rules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_Toc518377549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855FA6">
          <w:rPr>
            <w:rFonts w:ascii="Avenir Next LT Pro" w:hAnsi="Avenir Next LT Pro"/>
            <w:webHidden/>
          </w:rPr>
          <w:t>4</w:t>
        </w:r>
        <w:r w:rsidR="0041126D" w:rsidRPr="004D40EA">
          <w:rPr>
            <w:rFonts w:ascii="Avenir Next LT Pro" w:hAnsi="Avenir Next LT Pro"/>
            <w:webHidden/>
          </w:rPr>
          <w:fldChar w:fldCharType="end"/>
        </w:r>
      </w:hyperlink>
    </w:p>
    <w:p w14:paraId="105C789C" w14:textId="52D5FADF" w:rsidR="0041126D" w:rsidRPr="004D40EA" w:rsidRDefault="00E860CF" w:rsidP="0041126D">
      <w:pPr>
        <w:pStyle w:val="TOC1"/>
        <w:rPr>
          <w:rFonts w:ascii="Avenir Next LT Pro" w:hAnsi="Avenir Next LT Pro"/>
        </w:rPr>
      </w:pPr>
      <w:hyperlink w:anchor="_Toc518377550" w:history="1">
        <w:r w:rsidR="00BC4CDF" w:rsidRPr="004D40EA">
          <w:rPr>
            <w:rStyle w:val="Hyperlink"/>
            <w:rFonts w:ascii="Avenir Next LT Pro" w:eastAsia="ヒラギノ角ゴ Pro W3" w:hAnsi="Avenir Next LT Pro"/>
          </w:rPr>
          <w:t>CAPACITY BUILDING</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_Toc518377550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12</w:t>
        </w:r>
        <w:r w:rsidR="00BC4CDF" w:rsidRPr="004D40EA">
          <w:rPr>
            <w:rFonts w:ascii="Avenir Next LT Pro" w:hAnsi="Avenir Next LT Pro"/>
            <w:webHidden/>
          </w:rPr>
          <w:fldChar w:fldCharType="end"/>
        </w:r>
      </w:hyperlink>
    </w:p>
    <w:p w14:paraId="468BBD4E" w14:textId="6450E7BA" w:rsidR="0041126D" w:rsidRPr="004D40EA" w:rsidRDefault="00E860CF" w:rsidP="0041126D">
      <w:pPr>
        <w:pStyle w:val="TOC1"/>
        <w:rPr>
          <w:rFonts w:ascii="Avenir Next LT Pro" w:hAnsi="Avenir Next LT Pro"/>
        </w:rPr>
      </w:pPr>
      <w:hyperlink w:anchor="_Toc518377551" w:history="1">
        <w:r w:rsidR="00BC4CDF" w:rsidRPr="004D40EA">
          <w:rPr>
            <w:rStyle w:val="Hyperlink"/>
            <w:rFonts w:ascii="Avenir Next LT Pro" w:eastAsia="ヒラギノ角ゴ Pro W3" w:hAnsi="Avenir Next LT Pro"/>
          </w:rPr>
          <w:t>DISASTER SERVICES</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_Toc518377551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13</w:t>
        </w:r>
        <w:r w:rsidR="00BC4CDF" w:rsidRPr="004D40EA">
          <w:rPr>
            <w:rFonts w:ascii="Avenir Next LT Pro" w:hAnsi="Avenir Next LT Pro"/>
            <w:webHidden/>
          </w:rPr>
          <w:fldChar w:fldCharType="end"/>
        </w:r>
      </w:hyperlink>
    </w:p>
    <w:p w14:paraId="79EA41DC" w14:textId="5BF81B9B" w:rsidR="0041126D" w:rsidRPr="004D40EA" w:rsidRDefault="00E860CF" w:rsidP="0041126D">
      <w:pPr>
        <w:pStyle w:val="TOC1"/>
        <w:rPr>
          <w:rFonts w:ascii="Avenir Next LT Pro" w:hAnsi="Avenir Next LT Pro"/>
        </w:rPr>
      </w:pPr>
      <w:hyperlink w:anchor="_Toc518377552" w:history="1">
        <w:r w:rsidR="00BC4CDF" w:rsidRPr="004D40EA">
          <w:rPr>
            <w:rStyle w:val="Hyperlink"/>
            <w:rFonts w:ascii="Avenir Next LT Pro" w:eastAsia="ヒラギノ角ゴ Pro W3" w:hAnsi="Avenir Next LT Pro"/>
          </w:rPr>
          <w:t>ECONOMIC OPPORTUNITY</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_Toc518377552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15</w:t>
        </w:r>
        <w:r w:rsidR="00BC4CDF" w:rsidRPr="004D40EA">
          <w:rPr>
            <w:rFonts w:ascii="Avenir Next LT Pro" w:hAnsi="Avenir Next LT Pro"/>
            <w:webHidden/>
          </w:rPr>
          <w:fldChar w:fldCharType="end"/>
        </w:r>
      </w:hyperlink>
    </w:p>
    <w:p w14:paraId="2AED7DAC" w14:textId="5DAA8362" w:rsidR="0041126D" w:rsidRPr="004D40EA" w:rsidRDefault="00E860CF" w:rsidP="0041126D">
      <w:pPr>
        <w:pStyle w:val="TOC1"/>
        <w:rPr>
          <w:rFonts w:ascii="Avenir Next LT Pro" w:hAnsi="Avenir Next LT Pro"/>
        </w:rPr>
      </w:pPr>
      <w:hyperlink w:anchor="_Toc518377553" w:history="1">
        <w:r w:rsidR="00BC4CDF" w:rsidRPr="004D40EA">
          <w:rPr>
            <w:rStyle w:val="Hyperlink"/>
            <w:rFonts w:ascii="Avenir Next LT Pro" w:eastAsia="ヒラギノ角ゴ Pro W3" w:hAnsi="Avenir Next LT Pro"/>
          </w:rPr>
          <w:t>EDUCATION</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_Toc518377553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17</w:t>
        </w:r>
        <w:r w:rsidR="00BC4CDF" w:rsidRPr="004D40EA">
          <w:rPr>
            <w:rFonts w:ascii="Avenir Next LT Pro" w:hAnsi="Avenir Next LT Pro"/>
            <w:webHidden/>
          </w:rPr>
          <w:fldChar w:fldCharType="end"/>
        </w:r>
      </w:hyperlink>
    </w:p>
    <w:p w14:paraId="73FB06EC" w14:textId="3F63F4A0" w:rsidR="0041126D" w:rsidRPr="004D40EA" w:rsidRDefault="00E860CF" w:rsidP="0041126D">
      <w:pPr>
        <w:pStyle w:val="TOC1"/>
        <w:rPr>
          <w:rFonts w:ascii="Avenir Next LT Pro" w:hAnsi="Avenir Next LT Pro"/>
        </w:rPr>
      </w:pPr>
      <w:hyperlink w:anchor="_Toc518377554" w:history="1">
        <w:r w:rsidR="00BC4CDF" w:rsidRPr="004D40EA">
          <w:rPr>
            <w:rStyle w:val="Hyperlink"/>
            <w:rFonts w:ascii="Avenir Next LT Pro" w:eastAsia="ヒラギノ角ゴ Pro W3" w:hAnsi="Avenir Next LT Pro"/>
          </w:rPr>
          <w:t>ENVIRONMENTAL STEWARDSHIP</w:t>
        </w:r>
        <w:r w:rsidR="00BC4CDF" w:rsidRPr="004D40EA">
          <w:rPr>
            <w:rFonts w:ascii="Avenir Next LT Pro" w:hAnsi="Avenir Next LT Pro"/>
            <w:webHidden/>
          </w:rPr>
          <w:tab/>
        </w:r>
        <w:r w:rsidR="00BC4CDF">
          <w:rPr>
            <w:rFonts w:ascii="Avenir Next LT Pro" w:hAnsi="Avenir Next LT Pro"/>
            <w:webHidden/>
          </w:rPr>
          <w:t>20</w:t>
        </w:r>
      </w:hyperlink>
    </w:p>
    <w:p w14:paraId="00458AF8" w14:textId="3659D1B9" w:rsidR="0041126D" w:rsidRPr="004D40EA" w:rsidRDefault="00E860CF" w:rsidP="0041126D">
      <w:pPr>
        <w:pStyle w:val="TOC1"/>
        <w:rPr>
          <w:rFonts w:ascii="Avenir Next LT Pro" w:hAnsi="Avenir Next LT Pro"/>
        </w:rPr>
      </w:pPr>
      <w:hyperlink w:anchor="_Toc518377555" w:history="1">
        <w:r w:rsidR="00BC4CDF" w:rsidRPr="004D40EA">
          <w:rPr>
            <w:rStyle w:val="Hyperlink"/>
            <w:rFonts w:ascii="Avenir Next LT Pro" w:eastAsia="ヒラギノ角ゴ Pro W3" w:hAnsi="Avenir Next LT Pro"/>
          </w:rPr>
          <w:t>HEALTHY FUTURES</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_Toc518377555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23</w:t>
        </w:r>
        <w:r w:rsidR="00BC4CDF" w:rsidRPr="004D40EA">
          <w:rPr>
            <w:rFonts w:ascii="Avenir Next LT Pro" w:hAnsi="Avenir Next LT Pro"/>
            <w:webHidden/>
          </w:rPr>
          <w:fldChar w:fldCharType="end"/>
        </w:r>
      </w:hyperlink>
    </w:p>
    <w:p w14:paraId="06F0E9B2" w14:textId="66BE3D11" w:rsidR="0041126D" w:rsidRPr="004D40EA" w:rsidRDefault="00E860CF" w:rsidP="0041126D">
      <w:pPr>
        <w:pStyle w:val="TOC1"/>
        <w:rPr>
          <w:rFonts w:ascii="Avenir Next LT Pro" w:hAnsi="Avenir Next LT Pro"/>
        </w:rPr>
      </w:pPr>
      <w:hyperlink w:anchor="_Toc518377556" w:history="1">
        <w:r w:rsidR="00BC4CDF" w:rsidRPr="004D40EA">
          <w:rPr>
            <w:rStyle w:val="Hyperlink"/>
            <w:rFonts w:ascii="Avenir Next LT Pro" w:eastAsia="ヒラギノ角ゴ Pro W3" w:hAnsi="Avenir Next LT Pro"/>
          </w:rPr>
          <w:t>VETERANS AND MILITARY FAMILIES</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_Toc518377556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25</w:t>
        </w:r>
        <w:r w:rsidR="00BC4CDF" w:rsidRPr="004D40EA">
          <w:rPr>
            <w:rFonts w:ascii="Avenir Next LT Pro" w:hAnsi="Avenir Next LT Pro"/>
            <w:webHidden/>
          </w:rPr>
          <w:fldChar w:fldCharType="end"/>
        </w:r>
      </w:hyperlink>
    </w:p>
    <w:p w14:paraId="6341FB79" w14:textId="5E9CEB2B" w:rsidR="0041126D" w:rsidRPr="004D40EA" w:rsidRDefault="00E860CF" w:rsidP="0041126D">
      <w:pPr>
        <w:pStyle w:val="TOC1"/>
        <w:rPr>
          <w:rFonts w:ascii="Avenir Next LT Pro" w:hAnsi="Avenir Next LT Pro"/>
        </w:rPr>
      </w:pPr>
      <w:hyperlink w:anchor="_Toc518377557" w:history="1">
        <w:r w:rsidR="00BC4CDF" w:rsidRPr="004D40EA">
          <w:rPr>
            <w:rStyle w:val="Hyperlink"/>
            <w:rFonts w:ascii="Avenir Next LT Pro" w:hAnsi="Avenir Next LT Pro"/>
          </w:rPr>
          <w:t>Appendix A: Understanding MSY and Member Allocations</w:t>
        </w:r>
        <w:r w:rsidR="00BC4CDF" w:rsidRPr="004D40EA">
          <w:rPr>
            <w:rFonts w:ascii="Avenir Next LT Pro" w:hAnsi="Avenir Next LT Pro"/>
            <w:webHidden/>
          </w:rPr>
          <w:tab/>
        </w:r>
        <w:r w:rsidR="00BC4CDF" w:rsidRPr="004D40EA">
          <w:rPr>
            <w:rFonts w:ascii="Avenir Next LT Pro" w:hAnsi="Avenir Next LT Pro"/>
            <w:webHidden/>
          </w:rPr>
          <w:fldChar w:fldCharType="begin"/>
        </w:r>
        <w:r w:rsidR="00BC4CDF" w:rsidRPr="004D40EA">
          <w:rPr>
            <w:rFonts w:ascii="Avenir Next LT Pro" w:hAnsi="Avenir Next LT Pro"/>
            <w:webHidden/>
          </w:rPr>
          <w:instrText xml:space="preserve"> PAGEREF _Toc518377557 \h </w:instrText>
        </w:r>
        <w:r w:rsidR="00BC4CDF" w:rsidRPr="004D40EA">
          <w:rPr>
            <w:rFonts w:ascii="Avenir Next LT Pro" w:hAnsi="Avenir Next LT Pro"/>
            <w:webHidden/>
          </w:rPr>
        </w:r>
        <w:r w:rsidR="00BC4CDF" w:rsidRPr="004D40EA">
          <w:rPr>
            <w:rFonts w:ascii="Avenir Next LT Pro" w:hAnsi="Avenir Next LT Pro"/>
            <w:webHidden/>
          </w:rPr>
          <w:fldChar w:fldCharType="separate"/>
        </w:r>
        <w:r w:rsidR="00855FA6">
          <w:rPr>
            <w:rFonts w:ascii="Avenir Next LT Pro" w:hAnsi="Avenir Next LT Pro"/>
            <w:webHidden/>
          </w:rPr>
          <w:t>27</w:t>
        </w:r>
        <w:r w:rsidR="00BC4CDF" w:rsidRPr="004D40EA">
          <w:rPr>
            <w:rFonts w:ascii="Avenir Next LT Pro" w:hAnsi="Avenir Next LT Pro"/>
            <w:webHidden/>
          </w:rPr>
          <w:fldChar w:fldCharType="end"/>
        </w:r>
      </w:hyperlink>
    </w:p>
    <w:p w14:paraId="755946CF" w14:textId="129823C8" w:rsidR="0041126D" w:rsidRPr="004D40EA" w:rsidRDefault="00E860CF" w:rsidP="0041126D">
      <w:pPr>
        <w:pStyle w:val="TOC1"/>
        <w:rPr>
          <w:rFonts w:ascii="Avenir Next LT Pro" w:hAnsi="Avenir Next LT Pro"/>
        </w:rPr>
      </w:pPr>
      <w:hyperlink w:anchor="_Toc518377558" w:history="1">
        <w:r w:rsidR="00BC4CDF" w:rsidRPr="004D40EA">
          <w:rPr>
            <w:rStyle w:val="Hyperlink"/>
            <w:rFonts w:ascii="Avenir Next LT Pro" w:hAnsi="Avenir Next LT Pro"/>
          </w:rPr>
          <w:t>Appendix B: Performance Measures Checklist</w:t>
        </w:r>
        <w:r w:rsidR="00BC4CDF" w:rsidRPr="004D40EA">
          <w:rPr>
            <w:rFonts w:ascii="Avenir Next LT Pro" w:hAnsi="Avenir Next LT Pro"/>
            <w:webHidden/>
          </w:rPr>
          <w:tab/>
        </w:r>
        <w:r w:rsidR="00BC4CDF">
          <w:rPr>
            <w:rFonts w:ascii="Avenir Next LT Pro" w:hAnsi="Avenir Next LT Pro"/>
            <w:webHidden/>
          </w:rPr>
          <w:t>32</w:t>
        </w:r>
      </w:hyperlink>
    </w:p>
    <w:p w14:paraId="7CFE5966" w14:textId="32D51422" w:rsidR="0041126D" w:rsidRPr="004D40EA" w:rsidRDefault="00E860CF" w:rsidP="0041126D">
      <w:pPr>
        <w:pStyle w:val="TOC1"/>
        <w:rPr>
          <w:rFonts w:ascii="Avenir Next LT Pro" w:hAnsi="Avenir Next LT Pro"/>
        </w:rPr>
      </w:pPr>
      <w:hyperlink w:anchor="_Toc518377559" w:history="1">
        <w:r w:rsidR="00BC4CDF" w:rsidRPr="004D40EA">
          <w:rPr>
            <w:rStyle w:val="Hyperlink"/>
            <w:rFonts w:ascii="Avenir Next LT Pro" w:hAnsi="Avenir Next LT Pro"/>
          </w:rPr>
          <w:t>Appendix C: Frequently Asked Questions</w:t>
        </w:r>
        <w:r w:rsidR="00BC4CDF" w:rsidRPr="004D40EA">
          <w:rPr>
            <w:rFonts w:ascii="Avenir Next LT Pro" w:hAnsi="Avenir Next LT Pro"/>
            <w:webHidden/>
          </w:rPr>
          <w:tab/>
        </w:r>
        <w:r w:rsidR="00BC4CDF">
          <w:rPr>
            <w:rFonts w:ascii="Avenir Next LT Pro" w:hAnsi="Avenir Next LT Pro"/>
            <w:webHidden/>
          </w:rPr>
          <w:t>34</w:t>
        </w:r>
      </w:hyperlink>
    </w:p>
    <w:p w14:paraId="44B894F7" w14:textId="77777777" w:rsidR="0041126D" w:rsidRPr="004D40EA" w:rsidRDefault="0041126D" w:rsidP="0041126D">
      <w:pPr>
        <w:rPr>
          <w:rFonts w:ascii="Avenir Next LT Pro" w:hAnsi="Avenir Next LT Pro"/>
        </w:rPr>
      </w:pPr>
      <w:r w:rsidRPr="004D40EA">
        <w:rPr>
          <w:rFonts w:ascii="Avenir Next LT Pro" w:hAnsi="Avenir Next LT Pro"/>
          <w:b/>
          <w:bCs/>
          <w:noProof/>
        </w:rPr>
        <w:fldChar w:fldCharType="end"/>
      </w:r>
    </w:p>
    <w:p w14:paraId="7837ABC2" w14:textId="77777777" w:rsidR="0041126D" w:rsidRPr="004D40EA" w:rsidRDefault="0041126D" w:rsidP="0041126D">
      <w:pPr>
        <w:rPr>
          <w:rStyle w:val="Strong1"/>
          <w:rFonts w:ascii="Avenir Next LT Pro" w:hAnsi="Avenir Next LT Pro"/>
          <w:sz w:val="32"/>
          <w:szCs w:val="32"/>
        </w:rPr>
      </w:pPr>
    </w:p>
    <w:p w14:paraId="0AC51E20" w14:textId="77777777" w:rsidR="0041126D" w:rsidRPr="004D40EA" w:rsidRDefault="0041126D" w:rsidP="0041126D">
      <w:pPr>
        <w:pStyle w:val="Heading1"/>
        <w:spacing w:after="0" w:line="240" w:lineRule="auto"/>
        <w:contextualSpacing/>
        <w:jc w:val="center"/>
        <w:rPr>
          <w:rStyle w:val="Strong1"/>
          <w:rFonts w:ascii="Avenir Next LT Pro" w:hAnsi="Avenir Next LT Pro"/>
          <w:szCs w:val="20"/>
        </w:rPr>
      </w:pPr>
      <w:r w:rsidRPr="004D40EA">
        <w:rPr>
          <w:rStyle w:val="Strong1"/>
          <w:rFonts w:ascii="Avenir Next LT Pro" w:hAnsi="Avenir Next LT Pro"/>
          <w:sz w:val="32"/>
        </w:rPr>
        <w:br w:type="page"/>
      </w:r>
      <w:bookmarkStart w:id="3" w:name="_Toc371442620"/>
      <w:bookmarkStart w:id="4" w:name="_Toc371442728"/>
    </w:p>
    <w:p w14:paraId="472173C9" w14:textId="77777777" w:rsidR="0041126D" w:rsidRPr="004D40EA" w:rsidRDefault="0041126D" w:rsidP="0041126D">
      <w:pPr>
        <w:pStyle w:val="Style1"/>
        <w:outlineLvl w:val="0"/>
        <w:rPr>
          <w:rFonts w:ascii="Avenir Next LT Pro" w:hAnsi="Avenir Next LT Pro"/>
        </w:rPr>
      </w:pPr>
      <w:bookmarkStart w:id="5" w:name="_Toc518377548"/>
      <w:r w:rsidRPr="004D40EA">
        <w:rPr>
          <w:rFonts w:ascii="Avenir Next LT Pro" w:hAnsi="Avenir Next LT Pro"/>
        </w:rPr>
        <w:lastRenderedPageBreak/>
        <w:t>AmeriCorps State and National Performance Measure Requirements</w:t>
      </w:r>
      <w:bookmarkEnd w:id="3"/>
      <w:bookmarkEnd w:id="4"/>
      <w:bookmarkEnd w:id="5"/>
      <w:r w:rsidRPr="004D40EA">
        <w:rPr>
          <w:rFonts w:ascii="Avenir Next LT Pro" w:hAnsi="Avenir Next LT Pro"/>
        </w:rPr>
        <w:br/>
      </w:r>
    </w:p>
    <w:p w14:paraId="6963CEC4" w14:textId="01769FC0"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All applications must include at least one aligned performance measure (output paired with outcome) that corresponds to the proposed primary intervention. This may be a National Performance Measure or an applicant-determined measure depending on the program’s theory of change. Applications may also include National Performance Measure outputs without associated outcome(s) provided that the output measures a significant program activity. These output-only measures do not fulfill the requirement for an aligned performance measure, but may be selected in addition to the aligned measure(s).</w:t>
      </w:r>
      <w:r w:rsidRPr="004D40EA">
        <w:rPr>
          <w:rFonts w:ascii="Avenir Next LT Pro" w:hAnsi="Avenir Next LT Pro"/>
          <w:sz w:val="20"/>
          <w:szCs w:val="20"/>
        </w:rPr>
        <w:br/>
      </w:r>
    </w:p>
    <w:p w14:paraId="350032DC" w14:textId="303510F2"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must reflect significant program activities whose outputs and outcomes are consistent with the applicant’s core theory of change. Applicants are not expected to have performance measures for every program activity. AmeriCorps does not require applicants to use National Performance Measures but expects them to do so if National Performance Measures reflect key outputs and/or outcomes of the theory of change. Applicants may not create applicant determined outputs or outcomes that duplicate existing National Performance Measures.  </w:t>
      </w:r>
    </w:p>
    <w:p w14:paraId="63ABECD9"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p>
    <w:p w14:paraId="55AA333F" w14:textId="39BAF9F6"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including output-only measures, must be associated with one or more interventions (service activities). Applicants are expected to use the system-defined intervention categories if they appropriately represent the applicant’s program activities. Applicants may not create user-defined intervention labels that duplicate existing intervention categories. </w:t>
      </w:r>
    </w:p>
    <w:p w14:paraId="7D7CDFBC"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rPr>
        <w:br w:type="page"/>
      </w:r>
      <w:bookmarkStart w:id="6" w:name="_Toc518377549"/>
      <w:r w:rsidRPr="004D40EA">
        <w:rPr>
          <w:rFonts w:ascii="Avenir Next LT Pro" w:hAnsi="Avenir Next LT Pro"/>
        </w:rPr>
        <w:lastRenderedPageBreak/>
        <w:t>AmeriCorps State and National Performance Measures Selection Rules</w:t>
      </w:r>
      <w:bookmarkEnd w:id="6"/>
      <w:r w:rsidRPr="004D40EA">
        <w:rPr>
          <w:rFonts w:ascii="Avenir Next LT Pro" w:hAnsi="Avenir Next LT Pro"/>
        </w:rPr>
        <w:br/>
      </w:r>
    </w:p>
    <w:p w14:paraId="3AA0260F" w14:textId="032730F6"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These selection rules specify allowable output/outcome pairings for National Performance Measures.  Applicants must follow these selection rules when using National Performance Measures. Applicants may not select any National Performance Measures that may appear in eGrants if they are not present on this list. Please see the NOFO for additional information about application requirements.</w:t>
      </w:r>
    </w:p>
    <w:p w14:paraId="2CE0E38B" w14:textId="77777777" w:rsidR="0041126D" w:rsidRPr="004D40EA" w:rsidRDefault="0041126D" w:rsidP="0041126D">
      <w:pPr>
        <w:spacing w:after="0" w:line="240" w:lineRule="auto"/>
        <w:contextualSpacing/>
        <w:rPr>
          <w:rFonts w:ascii="Avenir Next LT Pro" w:hAnsi="Avenir Next LT Pro"/>
          <w:b/>
          <w:sz w:val="20"/>
          <w:szCs w:val="20"/>
        </w:rPr>
      </w:pPr>
    </w:p>
    <w:p w14:paraId="4A861A05" w14:textId="77777777" w:rsidR="0041126D" w:rsidRPr="004D40EA" w:rsidRDefault="0041126D" w:rsidP="0041126D">
      <w:pPr>
        <w:spacing w:after="0" w:line="240" w:lineRule="auto"/>
        <w:contextualSpacing/>
        <w:rPr>
          <w:rFonts w:ascii="Avenir Next LT Pro" w:hAnsi="Avenir Next LT Pro"/>
          <w:b/>
          <w:sz w:val="20"/>
          <w:szCs w:val="20"/>
        </w:rPr>
      </w:pPr>
    </w:p>
    <w:p w14:paraId="15A1197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Capacity Building</w:t>
      </w:r>
    </w:p>
    <w:p w14:paraId="6059E5E8"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2200"/>
        <w:gridCol w:w="3122"/>
        <w:gridCol w:w="2479"/>
      </w:tblGrid>
      <w:tr w:rsidR="0041126D" w:rsidRPr="004D40EA" w14:paraId="45B33665" w14:textId="77777777">
        <w:tc>
          <w:tcPr>
            <w:tcW w:w="1571" w:type="dxa"/>
            <w:vMerge w:val="restart"/>
            <w:tcMar>
              <w:top w:w="0" w:type="dxa"/>
              <w:left w:w="108" w:type="dxa"/>
              <w:bottom w:w="0" w:type="dxa"/>
              <w:right w:w="108" w:type="dxa"/>
            </w:tcMar>
            <w:hideMark/>
          </w:tcPr>
          <w:p w14:paraId="73D5D7A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1" w:type="dxa"/>
            <w:gridSpan w:val="2"/>
            <w:tcMar>
              <w:top w:w="0" w:type="dxa"/>
              <w:left w:w="108" w:type="dxa"/>
              <w:bottom w:w="0" w:type="dxa"/>
              <w:right w:w="108" w:type="dxa"/>
            </w:tcMar>
            <w:hideMark/>
          </w:tcPr>
          <w:p w14:paraId="6DBF5B3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534" w:type="dxa"/>
            <w:vMerge w:val="restart"/>
            <w:tcMar>
              <w:top w:w="0" w:type="dxa"/>
              <w:left w:w="108" w:type="dxa"/>
              <w:bottom w:w="0" w:type="dxa"/>
              <w:right w:w="108" w:type="dxa"/>
            </w:tcMar>
            <w:hideMark/>
          </w:tcPr>
          <w:p w14:paraId="611A36B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12CFC6C8" w14:textId="77777777">
        <w:trPr>
          <w:trHeight w:val="341"/>
        </w:trPr>
        <w:tc>
          <w:tcPr>
            <w:tcW w:w="1571" w:type="dxa"/>
            <w:vMerge/>
            <w:tcMar>
              <w:top w:w="0" w:type="dxa"/>
              <w:left w:w="108" w:type="dxa"/>
              <w:bottom w:w="0" w:type="dxa"/>
              <w:right w:w="108" w:type="dxa"/>
            </w:tcMar>
          </w:tcPr>
          <w:p w14:paraId="073AA7F2" w14:textId="77777777" w:rsidR="0041126D" w:rsidRPr="004D40EA" w:rsidRDefault="0041126D">
            <w:pPr>
              <w:spacing w:after="0" w:line="240" w:lineRule="auto"/>
              <w:contextualSpacing/>
              <w:rPr>
                <w:rFonts w:ascii="Avenir Next LT Pro" w:hAnsi="Avenir Next LT Pro"/>
                <w:b/>
                <w:sz w:val="20"/>
                <w:szCs w:val="20"/>
              </w:rPr>
            </w:pPr>
          </w:p>
        </w:tc>
        <w:tc>
          <w:tcPr>
            <w:tcW w:w="2243" w:type="dxa"/>
            <w:tcMar>
              <w:top w:w="0" w:type="dxa"/>
              <w:left w:w="108" w:type="dxa"/>
              <w:bottom w:w="0" w:type="dxa"/>
              <w:right w:w="108" w:type="dxa"/>
            </w:tcMar>
          </w:tcPr>
          <w:p w14:paraId="7049ADED"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55A25415"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534" w:type="dxa"/>
            <w:vMerge/>
            <w:tcMar>
              <w:top w:w="0" w:type="dxa"/>
              <w:left w:w="108" w:type="dxa"/>
              <w:bottom w:w="0" w:type="dxa"/>
              <w:right w:w="108" w:type="dxa"/>
            </w:tcMar>
          </w:tcPr>
          <w:p w14:paraId="4F80948D"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35D7E2AA" w14:textId="77777777">
        <w:tc>
          <w:tcPr>
            <w:tcW w:w="1571" w:type="dxa"/>
            <w:tcMar>
              <w:top w:w="0" w:type="dxa"/>
              <w:left w:w="108" w:type="dxa"/>
              <w:bottom w:w="0" w:type="dxa"/>
              <w:right w:w="108" w:type="dxa"/>
            </w:tcMar>
          </w:tcPr>
          <w:p w14:paraId="4809AD2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Capacity Building &amp; Leverage</w:t>
            </w:r>
          </w:p>
        </w:tc>
        <w:tc>
          <w:tcPr>
            <w:tcW w:w="2243" w:type="dxa"/>
            <w:tcMar>
              <w:top w:w="0" w:type="dxa"/>
              <w:left w:w="108" w:type="dxa"/>
              <w:bottom w:w="0" w:type="dxa"/>
              <w:right w:w="108" w:type="dxa"/>
            </w:tcMar>
          </w:tcPr>
          <w:p w14:paraId="3644FB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G3-3.4:  Number of organizations that received capacity building services</w:t>
            </w:r>
          </w:p>
        </w:tc>
        <w:tc>
          <w:tcPr>
            <w:tcW w:w="3228" w:type="dxa"/>
          </w:tcPr>
          <w:p w14:paraId="0F64BBC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G3-3.10A:  Number of organizations that increase their efficiency, effectiveness, and/or program reach</w:t>
            </w:r>
          </w:p>
        </w:tc>
        <w:tc>
          <w:tcPr>
            <w:tcW w:w="2534" w:type="dxa"/>
            <w:tcMar>
              <w:top w:w="0" w:type="dxa"/>
              <w:left w:w="108" w:type="dxa"/>
              <w:bottom w:w="0" w:type="dxa"/>
              <w:right w:w="108" w:type="dxa"/>
            </w:tcMar>
          </w:tcPr>
          <w:p w14:paraId="268561C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Volunteer management</w:t>
            </w:r>
          </w:p>
          <w:p w14:paraId="6604822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Training</w:t>
            </w:r>
          </w:p>
          <w:p w14:paraId="560300B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Resource development</w:t>
            </w:r>
          </w:p>
          <w:p w14:paraId="4C3F5C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Systems development</w:t>
            </w:r>
          </w:p>
        </w:tc>
      </w:tr>
    </w:tbl>
    <w:p w14:paraId="361F647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D5DA807" w14:textId="77777777" w:rsidR="0041126D" w:rsidRPr="004D40EA" w:rsidRDefault="0041126D" w:rsidP="0041126D">
      <w:pPr>
        <w:spacing w:after="0" w:line="240" w:lineRule="auto"/>
        <w:contextualSpacing/>
        <w:rPr>
          <w:rFonts w:ascii="Avenir Next LT Pro" w:hAnsi="Avenir Next LT Pro"/>
          <w:b/>
          <w:sz w:val="20"/>
          <w:szCs w:val="20"/>
        </w:rPr>
      </w:pPr>
    </w:p>
    <w:p w14:paraId="3D041858" w14:textId="77777777" w:rsidR="0041126D" w:rsidRPr="004D40EA" w:rsidRDefault="0041126D" w:rsidP="0041126D">
      <w:pPr>
        <w:spacing w:after="0" w:line="240" w:lineRule="auto"/>
        <w:contextualSpacing/>
        <w:rPr>
          <w:rFonts w:ascii="Avenir Next LT Pro" w:hAnsi="Avenir Next LT Pro"/>
          <w:b/>
          <w:sz w:val="20"/>
          <w:szCs w:val="20"/>
        </w:rPr>
      </w:pPr>
    </w:p>
    <w:p w14:paraId="6126AEE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Disaster Services</w:t>
      </w:r>
    </w:p>
    <w:p w14:paraId="24119477" w14:textId="77777777" w:rsidR="0041126D" w:rsidRPr="004D40EA" w:rsidRDefault="0041126D" w:rsidP="0041126D">
      <w:pPr>
        <w:spacing w:after="0" w:line="240" w:lineRule="auto"/>
        <w:contextualSpacing/>
        <w:rPr>
          <w:rFonts w:ascii="Avenir Next LT Pro" w:hAnsi="Avenir Next LT Pro"/>
          <w:b/>
          <w:sz w:val="20"/>
          <w:szCs w:val="20"/>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250"/>
        <w:gridCol w:w="3228"/>
        <w:gridCol w:w="2628"/>
      </w:tblGrid>
      <w:tr w:rsidR="0041126D" w:rsidRPr="004D40EA" w14:paraId="49998938" w14:textId="77777777" w:rsidTr="5779A35C">
        <w:tc>
          <w:tcPr>
            <w:tcW w:w="1571" w:type="dxa"/>
            <w:vMerge w:val="restart"/>
            <w:hideMark/>
          </w:tcPr>
          <w:p w14:paraId="51794EF4"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8" w:type="dxa"/>
            <w:gridSpan w:val="2"/>
            <w:hideMark/>
          </w:tcPr>
          <w:p w14:paraId="35D6C98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hideMark/>
          </w:tcPr>
          <w:p w14:paraId="0BFED0B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 xml:space="preserve"> Interventions</w:t>
            </w:r>
          </w:p>
        </w:tc>
      </w:tr>
      <w:tr w:rsidR="0041126D" w:rsidRPr="004D40EA" w14:paraId="74DF880F" w14:textId="77777777" w:rsidTr="5779A35C">
        <w:trPr>
          <w:trHeight w:val="314"/>
        </w:trPr>
        <w:tc>
          <w:tcPr>
            <w:tcW w:w="1571" w:type="dxa"/>
            <w:vMerge/>
          </w:tcPr>
          <w:p w14:paraId="2231FE8A"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72FEBB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31761A8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628" w:type="dxa"/>
            <w:vMerge/>
          </w:tcPr>
          <w:p w14:paraId="1AE59706"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3C3576B" w14:textId="77777777" w:rsidTr="5779A35C">
        <w:tc>
          <w:tcPr>
            <w:tcW w:w="1571" w:type="dxa"/>
            <w:vMerge w:val="restart"/>
          </w:tcPr>
          <w:p w14:paraId="3E73A1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Assistance Provided</w:t>
            </w:r>
          </w:p>
        </w:tc>
        <w:tc>
          <w:tcPr>
            <w:tcW w:w="2250" w:type="dxa"/>
          </w:tcPr>
          <w:p w14:paraId="74FC4E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D1A:  Number of individuals served</w:t>
            </w:r>
          </w:p>
          <w:p w14:paraId="0E5DC746" w14:textId="77777777" w:rsidR="0041126D" w:rsidRPr="004D40EA" w:rsidRDefault="0041126D">
            <w:pPr>
              <w:spacing w:after="0" w:line="240" w:lineRule="auto"/>
              <w:contextualSpacing/>
              <w:rPr>
                <w:rFonts w:ascii="Avenir Next LT Pro" w:hAnsi="Avenir Next LT Pro"/>
                <w:sz w:val="20"/>
                <w:szCs w:val="20"/>
              </w:rPr>
            </w:pPr>
          </w:p>
        </w:tc>
        <w:tc>
          <w:tcPr>
            <w:tcW w:w="3228" w:type="dxa"/>
          </w:tcPr>
          <w:p w14:paraId="3EB2725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D5:  Number of individuals reporting increased disaster readiness</w:t>
            </w:r>
          </w:p>
          <w:p w14:paraId="5ED85581" w14:textId="77777777" w:rsidR="0041126D" w:rsidRPr="004D40EA" w:rsidRDefault="0041126D">
            <w:pPr>
              <w:spacing w:after="0" w:line="240" w:lineRule="auto"/>
              <w:contextualSpacing/>
              <w:rPr>
                <w:rFonts w:ascii="Avenir Next LT Pro" w:hAnsi="Avenir Next LT Pro"/>
                <w:sz w:val="20"/>
                <w:szCs w:val="20"/>
              </w:rPr>
            </w:pPr>
          </w:p>
        </w:tc>
        <w:tc>
          <w:tcPr>
            <w:tcW w:w="2628" w:type="dxa"/>
          </w:tcPr>
          <w:p w14:paraId="2C552C0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5A86CD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7A1F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682596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05158E2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6FA84BF" w14:textId="1BFBBDC9" w:rsidR="0041126D" w:rsidRPr="004D40EA" w:rsidRDefault="0041126D">
            <w:pPr>
              <w:spacing w:after="0" w:line="240" w:lineRule="auto"/>
              <w:contextualSpacing/>
              <w:rPr>
                <w:rFonts w:ascii="Avenir Next LT Pro" w:hAnsi="Avenir Next LT Pro"/>
                <w:sz w:val="20"/>
                <w:szCs w:val="20"/>
              </w:rPr>
            </w:pPr>
          </w:p>
        </w:tc>
      </w:tr>
      <w:tr w:rsidR="0041126D" w:rsidRPr="004D40EA" w14:paraId="31E7DEA3" w14:textId="77777777" w:rsidTr="5779A35C">
        <w:tc>
          <w:tcPr>
            <w:tcW w:w="1571" w:type="dxa"/>
            <w:vMerge/>
          </w:tcPr>
          <w:p w14:paraId="27FDA161"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4824C3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D6:  Number of structures protected or restored</w:t>
            </w:r>
          </w:p>
        </w:tc>
        <w:tc>
          <w:tcPr>
            <w:tcW w:w="3228" w:type="dxa"/>
          </w:tcPr>
          <w:p w14:paraId="45656299" w14:textId="77777777" w:rsidR="0041126D" w:rsidRPr="004D40EA" w:rsidDel="0031231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D7:  Number of structures returned to regular use after a disaster</w:t>
            </w:r>
          </w:p>
        </w:tc>
        <w:tc>
          <w:tcPr>
            <w:tcW w:w="2628" w:type="dxa"/>
          </w:tcPr>
          <w:p w14:paraId="5D846A9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3BF8EE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57D43D5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0441BB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68C0E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4C995893" w14:textId="23AC9ABE" w:rsidR="0041126D" w:rsidRPr="004D40EA" w:rsidDel="00DF6600" w:rsidRDefault="0041126D">
            <w:pPr>
              <w:spacing w:after="0" w:line="240" w:lineRule="auto"/>
              <w:contextualSpacing/>
              <w:rPr>
                <w:rFonts w:ascii="Avenir Next LT Pro" w:hAnsi="Avenir Next LT Pro"/>
                <w:sz w:val="20"/>
                <w:szCs w:val="20"/>
              </w:rPr>
            </w:pPr>
          </w:p>
        </w:tc>
      </w:tr>
      <w:tr w:rsidR="0041126D" w:rsidRPr="004D40EA" w14:paraId="3D3247B5" w14:textId="77777777" w:rsidTr="5779A35C">
        <w:tc>
          <w:tcPr>
            <w:tcW w:w="1571" w:type="dxa"/>
            <w:vMerge/>
          </w:tcPr>
          <w:p w14:paraId="2754E7E3"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7F50ACAD" w14:textId="16B46030"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  Acres of parks or public land treated</w:t>
            </w:r>
          </w:p>
        </w:tc>
        <w:tc>
          <w:tcPr>
            <w:tcW w:w="3228" w:type="dxa"/>
          </w:tcPr>
          <w:p w14:paraId="54FD7869" w14:textId="6808611B"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EN4.1**: Acres of parks or public land improved</w:t>
            </w:r>
            <w:r w:rsidR="50909591" w:rsidRPr="5779A35C">
              <w:rPr>
                <w:rFonts w:ascii="Avenir Next LT Pro" w:hAnsi="Avenir Next LT Pro"/>
                <w:sz w:val="20"/>
                <w:szCs w:val="20"/>
              </w:rPr>
              <w:t xml:space="preserve"> </w:t>
            </w:r>
          </w:p>
        </w:tc>
        <w:tc>
          <w:tcPr>
            <w:tcW w:w="2628" w:type="dxa"/>
          </w:tcPr>
          <w:p w14:paraId="1B012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17706CA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4F05AA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767C3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52D555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D4BBA2D" w14:textId="6EE1C2FE" w:rsidR="0041126D" w:rsidRPr="004D40EA" w:rsidRDefault="0041126D">
            <w:pPr>
              <w:spacing w:after="0" w:line="240" w:lineRule="auto"/>
              <w:contextualSpacing/>
              <w:rPr>
                <w:rFonts w:ascii="Avenir Next LT Pro" w:hAnsi="Avenir Next LT Pro"/>
                <w:sz w:val="20"/>
                <w:szCs w:val="20"/>
              </w:rPr>
            </w:pPr>
          </w:p>
        </w:tc>
      </w:tr>
      <w:tr w:rsidR="0041126D" w:rsidRPr="004D40EA" w14:paraId="4782610E" w14:textId="77777777" w:rsidTr="5779A35C">
        <w:tc>
          <w:tcPr>
            <w:tcW w:w="1571" w:type="dxa"/>
            <w:vMerge/>
          </w:tcPr>
          <w:p w14:paraId="4CF5D228"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0D8C15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228" w:type="dxa"/>
          </w:tcPr>
          <w:p w14:paraId="5220FE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EN5.1**: Miles of trails or rivers improved</w:t>
            </w:r>
          </w:p>
        </w:tc>
        <w:tc>
          <w:tcPr>
            <w:tcW w:w="2628" w:type="dxa"/>
          </w:tcPr>
          <w:p w14:paraId="56CD874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25CB3C9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DFE3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832970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37D978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D022CEE" w14:textId="660281A2" w:rsidR="0041126D" w:rsidRPr="004D40EA" w:rsidRDefault="0041126D">
            <w:pPr>
              <w:spacing w:after="0" w:line="240" w:lineRule="auto"/>
              <w:contextualSpacing/>
              <w:rPr>
                <w:rFonts w:ascii="Avenir Next LT Pro" w:hAnsi="Avenir Next LT Pro"/>
                <w:sz w:val="20"/>
                <w:szCs w:val="20"/>
              </w:rPr>
            </w:pPr>
          </w:p>
        </w:tc>
      </w:tr>
      <w:tr w:rsidR="0041126D" w:rsidRPr="004D40EA" w14:paraId="6A1BC602" w14:textId="77777777" w:rsidTr="5779A35C">
        <w:tc>
          <w:tcPr>
            <w:tcW w:w="1571" w:type="dxa"/>
            <w:vMerge/>
          </w:tcPr>
          <w:p w14:paraId="6FD23192" w14:textId="77777777" w:rsidR="0041126D" w:rsidRPr="004D40EA" w:rsidRDefault="0041126D">
            <w:pPr>
              <w:spacing w:after="0" w:line="240" w:lineRule="auto"/>
              <w:contextualSpacing/>
              <w:rPr>
                <w:rFonts w:ascii="Avenir Next LT Pro" w:hAnsi="Avenir Next LT Pro"/>
                <w:sz w:val="20"/>
                <w:szCs w:val="20"/>
              </w:rPr>
            </w:pPr>
          </w:p>
        </w:tc>
        <w:tc>
          <w:tcPr>
            <w:tcW w:w="2250" w:type="dxa"/>
          </w:tcPr>
          <w:p w14:paraId="6DC4A5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G3-3.4**:  Number of organizations that </w:t>
            </w:r>
            <w:r w:rsidRPr="004D40EA">
              <w:rPr>
                <w:rFonts w:ascii="Avenir Next LT Pro" w:hAnsi="Avenir Next LT Pro"/>
                <w:sz w:val="20"/>
                <w:szCs w:val="20"/>
              </w:rPr>
              <w:lastRenderedPageBreak/>
              <w:t>received capacity building services</w:t>
            </w:r>
          </w:p>
        </w:tc>
        <w:tc>
          <w:tcPr>
            <w:tcW w:w="3228" w:type="dxa"/>
          </w:tcPr>
          <w:p w14:paraId="2C1E40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G3-3.10A**:  Number of organizations that increase their </w:t>
            </w:r>
            <w:r w:rsidRPr="004D40EA">
              <w:rPr>
                <w:rFonts w:ascii="Avenir Next LT Pro" w:hAnsi="Avenir Next LT Pro"/>
                <w:sz w:val="20"/>
                <w:szCs w:val="20"/>
              </w:rPr>
              <w:lastRenderedPageBreak/>
              <w:t>efficiency, effectiveness, and/or program reach</w:t>
            </w:r>
          </w:p>
        </w:tc>
        <w:tc>
          <w:tcPr>
            <w:tcW w:w="2628" w:type="dxa"/>
          </w:tcPr>
          <w:p w14:paraId="1F9F37C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Disaster Preparation</w:t>
            </w:r>
          </w:p>
          <w:p w14:paraId="3A2B2C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254A89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378019F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Disaster Mitigation</w:t>
            </w:r>
          </w:p>
          <w:p w14:paraId="4871F28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671E2EF" w14:textId="09340B55" w:rsidR="0041126D" w:rsidRPr="004D40EA" w:rsidRDefault="0041126D">
            <w:pPr>
              <w:spacing w:after="0" w:line="240" w:lineRule="auto"/>
              <w:contextualSpacing/>
              <w:rPr>
                <w:rFonts w:ascii="Avenir Next LT Pro" w:hAnsi="Avenir Next LT Pro"/>
                <w:sz w:val="20"/>
                <w:szCs w:val="20"/>
              </w:rPr>
            </w:pPr>
          </w:p>
        </w:tc>
      </w:tr>
    </w:tbl>
    <w:p w14:paraId="46883D1A"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w:t>
      </w:r>
      <w:r w:rsidRPr="004D40EA">
        <w:rPr>
          <w:rFonts w:ascii="Avenir Next LT Pro" w:hAnsi="Avenir Next LT Pro"/>
          <w:sz w:val="20"/>
          <w:szCs w:val="20"/>
        </w:rPr>
        <w:t xml:space="preserve">All National Performance Measure outputs may also be paired with an applicant-determined outcome instead or may be used without an associated outcome.  </w:t>
      </w:r>
    </w:p>
    <w:p w14:paraId="739CEA61" w14:textId="77777777" w:rsidR="0041126D" w:rsidRPr="004D40EA" w:rsidRDefault="0041126D" w:rsidP="0041126D">
      <w:pPr>
        <w:spacing w:after="0" w:line="240" w:lineRule="auto"/>
        <w:contextualSpacing/>
        <w:rPr>
          <w:rFonts w:ascii="Avenir Next LT Pro" w:hAnsi="Avenir Next LT Pro"/>
          <w:sz w:val="20"/>
          <w:szCs w:val="20"/>
        </w:rPr>
      </w:pPr>
    </w:p>
    <w:p w14:paraId="65D88691" w14:textId="64CEE890"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**In the eGrants Performance Measure Module, these measures may appear with the letter “D” at the end when used in the Disaster Services focus area. However, the instructions for these measures are the same regardless of the focus area in which they are used. </w:t>
      </w:r>
    </w:p>
    <w:p w14:paraId="3EAF684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Economic Opportunity</w:t>
      </w:r>
    </w:p>
    <w:p w14:paraId="6A405271" w14:textId="77777777" w:rsidR="0041126D" w:rsidRPr="004D40EA" w:rsidRDefault="0041126D" w:rsidP="0041126D">
      <w:pPr>
        <w:spacing w:after="0" w:line="240" w:lineRule="auto"/>
        <w:contextualSpacing/>
        <w:rPr>
          <w:rFonts w:ascii="Avenir Next LT Pro" w:hAnsi="Avenir Next LT Pro"/>
          <w:b/>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060"/>
        <w:gridCol w:w="2700"/>
      </w:tblGrid>
      <w:tr w:rsidR="0041126D" w:rsidRPr="004D40EA" w14:paraId="5D813221" w14:textId="77777777">
        <w:tc>
          <w:tcPr>
            <w:tcW w:w="1548" w:type="dxa"/>
            <w:vMerge w:val="restart"/>
            <w:tcMar>
              <w:top w:w="0" w:type="dxa"/>
              <w:left w:w="108" w:type="dxa"/>
              <w:bottom w:w="0" w:type="dxa"/>
              <w:right w:w="108" w:type="dxa"/>
            </w:tcMar>
            <w:hideMark/>
          </w:tcPr>
          <w:p w14:paraId="40A7B36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310" w:type="dxa"/>
            <w:gridSpan w:val="2"/>
            <w:tcMar>
              <w:top w:w="0" w:type="dxa"/>
              <w:left w:w="108" w:type="dxa"/>
              <w:bottom w:w="0" w:type="dxa"/>
              <w:right w:w="108" w:type="dxa"/>
            </w:tcMar>
            <w:hideMark/>
          </w:tcPr>
          <w:p w14:paraId="7C9A8E5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00" w:type="dxa"/>
            <w:tcMar>
              <w:top w:w="0" w:type="dxa"/>
              <w:left w:w="108" w:type="dxa"/>
              <w:bottom w:w="0" w:type="dxa"/>
              <w:right w:w="108" w:type="dxa"/>
            </w:tcMar>
            <w:hideMark/>
          </w:tcPr>
          <w:p w14:paraId="5054BA7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865CFB" w14:textId="77777777">
        <w:trPr>
          <w:trHeight w:val="305"/>
        </w:trPr>
        <w:tc>
          <w:tcPr>
            <w:tcW w:w="1548" w:type="dxa"/>
            <w:vMerge/>
            <w:tcMar>
              <w:top w:w="0" w:type="dxa"/>
              <w:left w:w="108" w:type="dxa"/>
              <w:bottom w:w="0" w:type="dxa"/>
              <w:right w:w="108" w:type="dxa"/>
            </w:tcMar>
          </w:tcPr>
          <w:p w14:paraId="406CF4DB"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EFA395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060" w:type="dxa"/>
          </w:tcPr>
          <w:p w14:paraId="5077B3BF" w14:textId="77777777" w:rsidR="0041126D" w:rsidRPr="004D40EA" w:rsidRDefault="0041126D">
            <w:pPr>
              <w:spacing w:after="0" w:line="240" w:lineRule="auto"/>
              <w:ind w:left="90"/>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700" w:type="dxa"/>
            <w:tcMar>
              <w:top w:w="0" w:type="dxa"/>
              <w:left w:w="108" w:type="dxa"/>
              <w:bottom w:w="0" w:type="dxa"/>
              <w:right w:w="108" w:type="dxa"/>
            </w:tcMar>
          </w:tcPr>
          <w:p w14:paraId="1B37961B"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63ADB03" w14:textId="77777777">
        <w:tc>
          <w:tcPr>
            <w:tcW w:w="1548" w:type="dxa"/>
            <w:tcMar>
              <w:top w:w="0" w:type="dxa"/>
              <w:left w:w="108" w:type="dxa"/>
              <w:bottom w:w="0" w:type="dxa"/>
              <w:right w:w="108" w:type="dxa"/>
            </w:tcMar>
          </w:tcPr>
          <w:p w14:paraId="43A9D4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w:t>
            </w:r>
          </w:p>
        </w:tc>
        <w:tc>
          <w:tcPr>
            <w:tcW w:w="2250" w:type="dxa"/>
            <w:tcMar>
              <w:top w:w="0" w:type="dxa"/>
              <w:left w:w="108" w:type="dxa"/>
              <w:bottom w:w="0" w:type="dxa"/>
              <w:right w:w="108" w:type="dxa"/>
            </w:tcMar>
          </w:tcPr>
          <w:p w14:paraId="654987F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50F0FBC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tc>
        <w:tc>
          <w:tcPr>
            <w:tcW w:w="2700" w:type="dxa"/>
            <w:tcMar>
              <w:top w:w="0" w:type="dxa"/>
              <w:left w:w="108" w:type="dxa"/>
              <w:bottom w:w="0" w:type="dxa"/>
              <w:right w:w="108" w:type="dxa"/>
            </w:tcMar>
          </w:tcPr>
          <w:p w14:paraId="47F8936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tc>
      </w:tr>
      <w:tr w:rsidR="0041126D" w:rsidRPr="004D40EA" w14:paraId="113BFF90" w14:textId="77777777">
        <w:tc>
          <w:tcPr>
            <w:tcW w:w="1548" w:type="dxa"/>
            <w:vMerge w:val="restart"/>
            <w:tcMar>
              <w:top w:w="0" w:type="dxa"/>
              <w:left w:w="108" w:type="dxa"/>
              <w:bottom w:w="0" w:type="dxa"/>
              <w:right w:w="108" w:type="dxa"/>
            </w:tcMar>
          </w:tcPr>
          <w:p w14:paraId="3AF0D5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w:t>
            </w:r>
          </w:p>
        </w:tc>
        <w:tc>
          <w:tcPr>
            <w:tcW w:w="2250" w:type="dxa"/>
            <w:tcMar>
              <w:top w:w="0" w:type="dxa"/>
              <w:left w:w="108" w:type="dxa"/>
              <w:bottom w:w="0" w:type="dxa"/>
              <w:right w:w="108" w:type="dxa"/>
            </w:tcMar>
          </w:tcPr>
          <w:p w14:paraId="444375D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6B0D9BD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  Number of individuals transitioned into safe, healthy, affordable housing</w:t>
            </w:r>
          </w:p>
        </w:tc>
        <w:tc>
          <w:tcPr>
            <w:tcW w:w="2700" w:type="dxa"/>
            <w:tcMar>
              <w:top w:w="0" w:type="dxa"/>
              <w:left w:w="108" w:type="dxa"/>
              <w:bottom w:w="0" w:type="dxa"/>
              <w:right w:w="108" w:type="dxa"/>
            </w:tcMar>
          </w:tcPr>
          <w:p w14:paraId="041F76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60ECA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407986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tc>
      </w:tr>
      <w:tr w:rsidR="0041126D" w:rsidRPr="004D40EA" w14:paraId="585E389A" w14:textId="77777777">
        <w:tc>
          <w:tcPr>
            <w:tcW w:w="1548" w:type="dxa"/>
            <w:vMerge/>
            <w:tcMar>
              <w:top w:w="0" w:type="dxa"/>
              <w:left w:w="108" w:type="dxa"/>
              <w:bottom w:w="0" w:type="dxa"/>
              <w:right w:w="108" w:type="dxa"/>
            </w:tcMar>
          </w:tcPr>
          <w:p w14:paraId="45C7E984" w14:textId="77777777" w:rsidR="0041126D" w:rsidRPr="004D40EA" w:rsidDel="00E03DB9"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1563B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O4:  Number of housing units developed or repaired</w:t>
            </w:r>
          </w:p>
        </w:tc>
        <w:tc>
          <w:tcPr>
            <w:tcW w:w="3060" w:type="dxa"/>
          </w:tcPr>
          <w:p w14:paraId="042BFF57" w14:textId="77777777" w:rsidR="0041126D" w:rsidRPr="004D40EA" w:rsidDel="00E01FA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O20:  Number of safe, healthy, affordable housing units made available</w:t>
            </w:r>
          </w:p>
        </w:tc>
        <w:tc>
          <w:tcPr>
            <w:tcW w:w="2700" w:type="dxa"/>
            <w:tcMar>
              <w:top w:w="0" w:type="dxa"/>
              <w:left w:w="108" w:type="dxa"/>
              <w:bottom w:w="0" w:type="dxa"/>
              <w:right w:w="108" w:type="dxa"/>
            </w:tcMar>
          </w:tcPr>
          <w:p w14:paraId="26EF4E1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593F65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tc>
      </w:tr>
      <w:tr w:rsidR="0041126D" w:rsidRPr="004D40EA" w14:paraId="121FDE8A" w14:textId="77777777">
        <w:tc>
          <w:tcPr>
            <w:tcW w:w="1548" w:type="dxa"/>
            <w:tcMar>
              <w:top w:w="0" w:type="dxa"/>
              <w:left w:w="108" w:type="dxa"/>
              <w:bottom w:w="0" w:type="dxa"/>
              <w:right w:w="108" w:type="dxa"/>
            </w:tcMar>
          </w:tcPr>
          <w:p w14:paraId="31AE53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Employment</w:t>
            </w:r>
          </w:p>
        </w:tc>
        <w:tc>
          <w:tcPr>
            <w:tcW w:w="2250" w:type="dxa"/>
            <w:tcMar>
              <w:top w:w="0" w:type="dxa"/>
              <w:left w:w="108" w:type="dxa"/>
              <w:bottom w:w="0" w:type="dxa"/>
              <w:right w:w="108" w:type="dxa"/>
            </w:tcMar>
          </w:tcPr>
          <w:p w14:paraId="07C04A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76EE9A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O10:  Number of individuals who secure employment</w:t>
            </w:r>
            <w:r w:rsidRPr="004D40EA" w:rsidDel="00E01FAA">
              <w:rPr>
                <w:rFonts w:ascii="Avenir Next LT Pro" w:hAnsi="Avenir Next LT Pro"/>
                <w:sz w:val="20"/>
                <w:szCs w:val="20"/>
              </w:rPr>
              <w:t xml:space="preserve"> </w:t>
            </w:r>
          </w:p>
          <w:p w14:paraId="3AB9553A" w14:textId="77777777" w:rsidR="0041126D" w:rsidRPr="004D40EA" w:rsidRDefault="0041126D">
            <w:pPr>
              <w:spacing w:after="0" w:line="240" w:lineRule="auto"/>
              <w:ind w:left="90"/>
              <w:contextualSpacing/>
              <w:rPr>
                <w:rFonts w:ascii="Avenir Next LT Pro" w:hAnsi="Avenir Next LT Pro"/>
                <w:sz w:val="20"/>
                <w:szCs w:val="20"/>
              </w:rPr>
            </w:pPr>
          </w:p>
          <w:p w14:paraId="73076CA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r w:rsidRPr="004D40EA" w:rsidDel="00E01FAA">
              <w:rPr>
                <w:rFonts w:ascii="Avenir Next LT Pro" w:hAnsi="Avenir Next LT Pro"/>
                <w:sz w:val="20"/>
                <w:szCs w:val="20"/>
              </w:rPr>
              <w:t xml:space="preserve"> </w:t>
            </w:r>
          </w:p>
        </w:tc>
        <w:tc>
          <w:tcPr>
            <w:tcW w:w="2700" w:type="dxa"/>
            <w:tcMar>
              <w:top w:w="0" w:type="dxa"/>
              <w:left w:w="108" w:type="dxa"/>
              <w:bottom w:w="0" w:type="dxa"/>
              <w:right w:w="108" w:type="dxa"/>
            </w:tcMar>
          </w:tcPr>
          <w:p w14:paraId="7EE05A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7FEA6E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5FA681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11B970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tc>
      </w:tr>
      <w:tr w:rsidR="0041126D" w:rsidRPr="004D40EA" w14:paraId="059A9F8C" w14:textId="77777777">
        <w:tc>
          <w:tcPr>
            <w:tcW w:w="1548" w:type="dxa"/>
            <w:tcMar>
              <w:top w:w="0" w:type="dxa"/>
              <w:left w:w="108" w:type="dxa"/>
              <w:bottom w:w="0" w:type="dxa"/>
              <w:right w:w="108" w:type="dxa"/>
            </w:tcMar>
          </w:tcPr>
          <w:p w14:paraId="6BA91D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Find Opportunity</w:t>
            </w:r>
          </w:p>
        </w:tc>
        <w:tc>
          <w:tcPr>
            <w:tcW w:w="2250" w:type="dxa"/>
            <w:tcMar>
              <w:top w:w="0" w:type="dxa"/>
              <w:left w:w="108" w:type="dxa"/>
              <w:bottom w:w="0" w:type="dxa"/>
              <w:right w:w="108" w:type="dxa"/>
            </w:tcMar>
          </w:tcPr>
          <w:p w14:paraId="51E2D7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060" w:type="dxa"/>
          </w:tcPr>
          <w:p w14:paraId="066B4E3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00" w:type="dxa"/>
            <w:tcMar>
              <w:top w:w="0" w:type="dxa"/>
              <w:left w:w="108" w:type="dxa"/>
              <w:bottom w:w="0" w:type="dxa"/>
              <w:right w:w="108" w:type="dxa"/>
            </w:tcMar>
          </w:tcPr>
          <w:p w14:paraId="5DA45D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0F4C7F9F" w14:textId="77777777">
        <w:tc>
          <w:tcPr>
            <w:tcW w:w="1548" w:type="dxa"/>
            <w:tcMar>
              <w:top w:w="0" w:type="dxa"/>
              <w:left w:w="108" w:type="dxa"/>
              <w:bottom w:w="0" w:type="dxa"/>
              <w:right w:w="108" w:type="dxa"/>
            </w:tcMar>
          </w:tcPr>
          <w:p w14:paraId="17E766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Economic Opportunity</w:t>
            </w:r>
          </w:p>
        </w:tc>
        <w:tc>
          <w:tcPr>
            <w:tcW w:w="2250" w:type="dxa"/>
            <w:tcMar>
              <w:top w:w="0" w:type="dxa"/>
              <w:left w:w="108" w:type="dxa"/>
              <w:bottom w:w="0" w:type="dxa"/>
              <w:right w:w="108" w:type="dxa"/>
            </w:tcMar>
          </w:tcPr>
          <w:p w14:paraId="236433E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O1A:  Number of individuals served</w:t>
            </w:r>
          </w:p>
        </w:tc>
        <w:tc>
          <w:tcPr>
            <w:tcW w:w="3060" w:type="dxa"/>
          </w:tcPr>
          <w:p w14:paraId="5627889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700" w:type="dxa"/>
            <w:tcMar>
              <w:top w:w="0" w:type="dxa"/>
              <w:left w:w="108" w:type="dxa"/>
              <w:bottom w:w="0" w:type="dxa"/>
              <w:right w:w="108" w:type="dxa"/>
            </w:tcMar>
          </w:tcPr>
          <w:p w14:paraId="45B016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04C8B5A1"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22ECA42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Education</w:t>
      </w:r>
    </w:p>
    <w:p w14:paraId="6B631F26"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4FC04FAE" w14:textId="77777777" w:rsidTr="5779A35C">
        <w:trPr>
          <w:trHeight w:val="228"/>
        </w:trPr>
        <w:tc>
          <w:tcPr>
            <w:tcW w:w="1548" w:type="dxa"/>
            <w:vMerge w:val="restart"/>
            <w:tcMar>
              <w:top w:w="0" w:type="dxa"/>
              <w:left w:w="108" w:type="dxa"/>
              <w:bottom w:w="0" w:type="dxa"/>
              <w:right w:w="108" w:type="dxa"/>
            </w:tcMar>
            <w:hideMark/>
          </w:tcPr>
          <w:p w14:paraId="54AED59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5245B59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57541541" w14:textId="77777777" w:rsidR="0041126D" w:rsidRPr="004D40EA" w:rsidRDefault="0041126D">
            <w:pPr>
              <w:spacing w:after="0" w:line="240" w:lineRule="auto"/>
              <w:contextualSpacing/>
              <w:jc w:val="center"/>
              <w:rPr>
                <w:rFonts w:ascii="Avenir Next LT Pro" w:hAnsi="Avenir Next LT Pro"/>
                <w:b/>
                <w:bCs/>
                <w:sz w:val="20"/>
                <w:szCs w:val="20"/>
              </w:rPr>
            </w:pPr>
            <w:r w:rsidRPr="5779A35C">
              <w:rPr>
                <w:rFonts w:ascii="Avenir Next LT Pro" w:hAnsi="Avenir Next LT Pro"/>
                <w:b/>
                <w:bCs/>
                <w:sz w:val="20"/>
                <w:szCs w:val="20"/>
              </w:rPr>
              <w:t>Interventions</w:t>
            </w:r>
          </w:p>
        </w:tc>
      </w:tr>
      <w:tr w:rsidR="0041126D" w:rsidRPr="004D40EA" w14:paraId="5A726D64" w14:textId="77777777" w:rsidTr="5779A35C">
        <w:trPr>
          <w:trHeight w:val="374"/>
        </w:trPr>
        <w:tc>
          <w:tcPr>
            <w:tcW w:w="1548" w:type="dxa"/>
            <w:vMerge/>
            <w:tcMar>
              <w:top w:w="0" w:type="dxa"/>
              <w:left w:w="108" w:type="dxa"/>
              <w:bottom w:w="0" w:type="dxa"/>
              <w:right w:w="108" w:type="dxa"/>
            </w:tcMar>
          </w:tcPr>
          <w:p w14:paraId="1FBDA3B9"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93EBE0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070E14B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Outcomes (if applicable)*</w:t>
            </w:r>
          </w:p>
        </w:tc>
        <w:tc>
          <w:tcPr>
            <w:tcW w:w="2628" w:type="dxa"/>
            <w:vMerge/>
            <w:tcMar>
              <w:top w:w="0" w:type="dxa"/>
              <w:left w:w="108" w:type="dxa"/>
              <w:bottom w:w="0" w:type="dxa"/>
              <w:right w:w="108" w:type="dxa"/>
            </w:tcMar>
          </w:tcPr>
          <w:p w14:paraId="423DDDCA"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52D7064" w14:textId="77777777" w:rsidTr="5779A35C">
        <w:trPr>
          <w:trHeight w:val="1829"/>
        </w:trPr>
        <w:tc>
          <w:tcPr>
            <w:tcW w:w="1548" w:type="dxa"/>
            <w:tcMar>
              <w:top w:w="0" w:type="dxa"/>
              <w:left w:w="108" w:type="dxa"/>
              <w:bottom w:w="0" w:type="dxa"/>
              <w:right w:w="108" w:type="dxa"/>
            </w:tcMar>
            <w:hideMark/>
          </w:tcPr>
          <w:p w14:paraId="72DB7B7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School Readiness</w:t>
            </w:r>
          </w:p>
        </w:tc>
        <w:tc>
          <w:tcPr>
            <w:tcW w:w="2250" w:type="dxa"/>
            <w:tcMar>
              <w:top w:w="0" w:type="dxa"/>
              <w:left w:w="108" w:type="dxa"/>
              <w:bottom w:w="0" w:type="dxa"/>
              <w:right w:w="108" w:type="dxa"/>
            </w:tcMar>
            <w:hideMark/>
          </w:tcPr>
          <w:p w14:paraId="691C011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72626AD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ED23A:  Number of children demonstrating gains in school readiness</w:t>
            </w:r>
          </w:p>
        </w:tc>
        <w:tc>
          <w:tcPr>
            <w:tcW w:w="2628" w:type="dxa"/>
            <w:tcMar>
              <w:top w:w="0" w:type="dxa"/>
              <w:left w:w="108" w:type="dxa"/>
              <w:bottom w:w="0" w:type="dxa"/>
              <w:right w:w="108" w:type="dxa"/>
            </w:tcMar>
            <w:hideMark/>
          </w:tcPr>
          <w:p w14:paraId="44AA206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4DAB2A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3A80B0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76046F4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232E7E8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49B95C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71902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457A0563"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Classroom Teaching</w:t>
            </w:r>
          </w:p>
        </w:tc>
      </w:tr>
      <w:tr w:rsidR="0041126D" w:rsidRPr="004D40EA" w14:paraId="2DC08F8A" w14:textId="77777777" w:rsidTr="5779A35C">
        <w:trPr>
          <w:trHeight w:val="4574"/>
        </w:trPr>
        <w:tc>
          <w:tcPr>
            <w:tcW w:w="1548" w:type="dxa"/>
            <w:tcMar>
              <w:top w:w="0" w:type="dxa"/>
              <w:left w:w="108" w:type="dxa"/>
              <w:bottom w:w="0" w:type="dxa"/>
              <w:right w:w="108" w:type="dxa"/>
            </w:tcMar>
            <w:hideMark/>
          </w:tcPr>
          <w:p w14:paraId="6B3DA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K-12 Success</w:t>
            </w:r>
          </w:p>
        </w:tc>
        <w:tc>
          <w:tcPr>
            <w:tcW w:w="2250" w:type="dxa"/>
            <w:tcMar>
              <w:top w:w="0" w:type="dxa"/>
              <w:left w:w="108" w:type="dxa"/>
              <w:bottom w:w="0" w:type="dxa"/>
              <w:right w:w="108" w:type="dxa"/>
            </w:tcMar>
            <w:hideMark/>
          </w:tcPr>
          <w:p w14:paraId="381C2E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C35F32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ED5A:  Number of students with improved academic performance </w:t>
            </w:r>
          </w:p>
          <w:p w14:paraId="2CBE64D5" w14:textId="77777777" w:rsidR="0041126D" w:rsidRPr="004D40EA" w:rsidRDefault="0041126D">
            <w:pPr>
              <w:spacing w:after="0" w:line="240" w:lineRule="auto"/>
              <w:ind w:left="90"/>
              <w:contextualSpacing/>
              <w:rPr>
                <w:rFonts w:ascii="Avenir Next LT Pro" w:hAnsi="Avenir Next LT Pro"/>
                <w:sz w:val="20"/>
                <w:szCs w:val="20"/>
              </w:rPr>
            </w:pPr>
          </w:p>
          <w:p w14:paraId="1F2EF94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ED9:  Number of students graduating from high school on time</w:t>
            </w:r>
          </w:p>
          <w:p w14:paraId="681EC21B" w14:textId="77777777" w:rsidR="0041126D" w:rsidRPr="004D40EA" w:rsidRDefault="0041126D">
            <w:pPr>
              <w:spacing w:after="0" w:line="240" w:lineRule="auto"/>
              <w:ind w:left="90"/>
              <w:contextualSpacing/>
              <w:rPr>
                <w:rFonts w:ascii="Avenir Next LT Pro" w:hAnsi="Avenir Next LT Pro"/>
                <w:sz w:val="20"/>
                <w:szCs w:val="20"/>
              </w:rPr>
            </w:pPr>
          </w:p>
          <w:p w14:paraId="7F097C6B"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ED10:  Number of students enrolling in post-secondary education/training</w:t>
            </w:r>
          </w:p>
          <w:p w14:paraId="29F70351" w14:textId="77777777" w:rsidR="0041126D" w:rsidRPr="004D40EA" w:rsidRDefault="0041126D">
            <w:pPr>
              <w:spacing w:after="0" w:line="240" w:lineRule="auto"/>
              <w:ind w:left="90"/>
              <w:contextualSpacing/>
              <w:rPr>
                <w:rFonts w:ascii="Avenir Next LT Pro" w:hAnsi="Avenir Next LT Pro"/>
                <w:sz w:val="20"/>
                <w:szCs w:val="20"/>
              </w:rPr>
            </w:pPr>
          </w:p>
          <w:p w14:paraId="04470A6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ED27C:  Number of students with improved academic engagement or social-emotional skills</w:t>
            </w:r>
          </w:p>
          <w:p w14:paraId="3465D772" w14:textId="77777777" w:rsidR="0041126D" w:rsidRPr="004D40EA" w:rsidRDefault="0041126D">
            <w:pPr>
              <w:spacing w:after="0" w:line="240" w:lineRule="auto"/>
              <w:ind w:left="90"/>
              <w:contextualSpacing/>
              <w:rPr>
                <w:rFonts w:ascii="Avenir Next LT Pro" w:hAnsi="Avenir Next LT Pro"/>
                <w:sz w:val="20"/>
                <w:szCs w:val="20"/>
              </w:rPr>
            </w:pPr>
          </w:p>
          <w:p w14:paraId="420710B2"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ED6:  Number of students with increased attendance</w:t>
            </w:r>
          </w:p>
          <w:p w14:paraId="2418662A" w14:textId="77777777" w:rsidR="0041126D" w:rsidRPr="004D40EA" w:rsidRDefault="0041126D">
            <w:pPr>
              <w:spacing w:after="0" w:line="240" w:lineRule="auto"/>
              <w:ind w:left="90"/>
              <w:contextualSpacing/>
              <w:rPr>
                <w:rFonts w:ascii="Avenir Next LT Pro" w:hAnsi="Avenir Next LT Pro"/>
                <w:sz w:val="20"/>
                <w:szCs w:val="20"/>
              </w:rPr>
            </w:pPr>
          </w:p>
          <w:p w14:paraId="5714298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ED7A:  Number of students with decreased disciplinary incidents (referrals, suspensions/expulsions, criminal or gang involvement)</w:t>
            </w:r>
          </w:p>
        </w:tc>
        <w:tc>
          <w:tcPr>
            <w:tcW w:w="2628" w:type="dxa"/>
            <w:tcMar>
              <w:top w:w="0" w:type="dxa"/>
              <w:left w:w="108" w:type="dxa"/>
              <w:bottom w:w="0" w:type="dxa"/>
              <w:right w:w="108" w:type="dxa"/>
            </w:tcMar>
            <w:hideMark/>
          </w:tcPr>
          <w:p w14:paraId="3B89284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17DC2E8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4F0A9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Coaching</w:t>
            </w:r>
          </w:p>
          <w:p w14:paraId="4F9565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31722B3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03F021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2E4D09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5C66693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DFBA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Classroom Teaching</w:t>
            </w:r>
          </w:p>
          <w:p w14:paraId="24FEBD3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p w14:paraId="5BAD9882"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1DB5A9AB" w14:textId="77777777" w:rsidTr="5779A35C">
        <w:trPr>
          <w:trHeight w:val="1143"/>
        </w:trPr>
        <w:tc>
          <w:tcPr>
            <w:tcW w:w="1548" w:type="dxa"/>
            <w:tcMar>
              <w:top w:w="0" w:type="dxa"/>
              <w:left w:w="108" w:type="dxa"/>
              <w:bottom w:w="0" w:type="dxa"/>
              <w:right w:w="108" w:type="dxa"/>
            </w:tcMar>
            <w:hideMark/>
          </w:tcPr>
          <w:p w14:paraId="4F4F72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Post-HS Education Support</w:t>
            </w:r>
          </w:p>
        </w:tc>
        <w:tc>
          <w:tcPr>
            <w:tcW w:w="2250" w:type="dxa"/>
            <w:tcMar>
              <w:top w:w="0" w:type="dxa"/>
              <w:left w:w="108" w:type="dxa"/>
              <w:bottom w:w="0" w:type="dxa"/>
              <w:right w:w="108" w:type="dxa"/>
            </w:tcMar>
            <w:hideMark/>
          </w:tcPr>
          <w:p w14:paraId="35EB82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6FE9BA0" w14:textId="0DA702F7" w:rsidR="0041126D" w:rsidRPr="004D40EA" w:rsidRDefault="0041126D">
            <w:pPr>
              <w:spacing w:after="0" w:line="240" w:lineRule="auto"/>
              <w:ind w:left="90"/>
              <w:contextualSpacing/>
              <w:rPr>
                <w:rFonts w:ascii="Avenir Next LT Pro" w:hAnsi="Avenir Next LT Pro"/>
                <w:sz w:val="20"/>
                <w:szCs w:val="20"/>
              </w:rPr>
            </w:pPr>
            <w:r w:rsidRPr="5779A35C">
              <w:rPr>
                <w:rFonts w:ascii="Avenir Next LT Pro" w:hAnsi="Avenir Next LT Pro"/>
                <w:sz w:val="20"/>
                <w:szCs w:val="20"/>
              </w:rPr>
              <w:t xml:space="preserve">ED11:  Number of </w:t>
            </w:r>
            <w:r w:rsidR="00D917DA">
              <w:rPr>
                <w:rFonts w:ascii="Avenir Next LT Pro" w:hAnsi="Avenir Next LT Pro"/>
                <w:sz w:val="20"/>
                <w:szCs w:val="20"/>
              </w:rPr>
              <w:t>students</w:t>
            </w:r>
            <w:r w:rsidR="00D917DA" w:rsidRPr="5779A35C">
              <w:rPr>
                <w:rFonts w:ascii="Avenir Next LT Pro" w:hAnsi="Avenir Next LT Pro"/>
                <w:sz w:val="20"/>
                <w:szCs w:val="20"/>
              </w:rPr>
              <w:t xml:space="preserve"> </w:t>
            </w:r>
            <w:r w:rsidRPr="5779A35C">
              <w:rPr>
                <w:rFonts w:ascii="Avenir Next LT Pro" w:hAnsi="Avenir Next LT Pro"/>
                <w:sz w:val="20"/>
                <w:szCs w:val="20"/>
              </w:rPr>
              <w:t>earning a post-secondary degree or technical certification</w:t>
            </w:r>
          </w:p>
        </w:tc>
        <w:tc>
          <w:tcPr>
            <w:tcW w:w="2628" w:type="dxa"/>
            <w:tcMar>
              <w:top w:w="0" w:type="dxa"/>
              <w:left w:w="108" w:type="dxa"/>
              <w:bottom w:w="0" w:type="dxa"/>
              <w:right w:w="108" w:type="dxa"/>
            </w:tcMar>
            <w:hideMark/>
          </w:tcPr>
          <w:p w14:paraId="10A513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27F3A9A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49C064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74C9494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90C737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tc>
      </w:tr>
      <w:tr w:rsidR="0041126D" w:rsidRPr="004D40EA" w14:paraId="2E7F82FA" w14:textId="77777777" w:rsidTr="5779A35C">
        <w:trPr>
          <w:trHeight w:val="686"/>
        </w:trPr>
        <w:tc>
          <w:tcPr>
            <w:tcW w:w="1548" w:type="dxa"/>
            <w:tcMar>
              <w:top w:w="0" w:type="dxa"/>
              <w:left w:w="108" w:type="dxa"/>
              <w:bottom w:w="0" w:type="dxa"/>
              <w:right w:w="108" w:type="dxa"/>
            </w:tcMar>
          </w:tcPr>
          <w:p w14:paraId="5D3AC3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Teacher Corps</w:t>
            </w:r>
          </w:p>
        </w:tc>
        <w:tc>
          <w:tcPr>
            <w:tcW w:w="2250" w:type="dxa"/>
            <w:tcMar>
              <w:top w:w="0" w:type="dxa"/>
              <w:left w:w="108" w:type="dxa"/>
              <w:bottom w:w="0" w:type="dxa"/>
              <w:right w:w="108" w:type="dxa"/>
            </w:tcMar>
          </w:tcPr>
          <w:p w14:paraId="325825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50" w:type="dxa"/>
          </w:tcPr>
          <w:p w14:paraId="7A9AF0C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628" w:type="dxa"/>
            <w:tcMar>
              <w:top w:w="0" w:type="dxa"/>
              <w:left w:w="108" w:type="dxa"/>
              <w:bottom w:w="0" w:type="dxa"/>
              <w:right w:w="108" w:type="dxa"/>
            </w:tcMar>
          </w:tcPr>
          <w:p w14:paraId="2514EAC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32BD0243" w14:textId="77777777" w:rsidTr="5779A35C">
        <w:trPr>
          <w:trHeight w:val="686"/>
        </w:trPr>
        <w:tc>
          <w:tcPr>
            <w:tcW w:w="1548" w:type="dxa"/>
            <w:tcMar>
              <w:top w:w="0" w:type="dxa"/>
              <w:left w:w="108" w:type="dxa"/>
              <w:bottom w:w="0" w:type="dxa"/>
              <w:right w:w="108" w:type="dxa"/>
            </w:tcMar>
          </w:tcPr>
          <w:p w14:paraId="6CD06A8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Education</w:t>
            </w:r>
          </w:p>
        </w:tc>
        <w:tc>
          <w:tcPr>
            <w:tcW w:w="2250" w:type="dxa"/>
            <w:tcMar>
              <w:top w:w="0" w:type="dxa"/>
              <w:left w:w="108" w:type="dxa"/>
              <w:bottom w:w="0" w:type="dxa"/>
              <w:right w:w="108" w:type="dxa"/>
            </w:tcMar>
          </w:tcPr>
          <w:p w14:paraId="12931E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3107BD8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0FF71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0CA0C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781B7DB" w14:textId="77777777" w:rsidR="0041126D" w:rsidRPr="004D40EA" w:rsidRDefault="0041126D" w:rsidP="0041126D">
      <w:pPr>
        <w:spacing w:after="0" w:line="240" w:lineRule="auto"/>
        <w:contextualSpacing/>
        <w:rPr>
          <w:rFonts w:ascii="Avenir Next LT Pro" w:hAnsi="Avenir Next LT Pro"/>
          <w:sz w:val="20"/>
          <w:szCs w:val="20"/>
        </w:rPr>
      </w:pPr>
    </w:p>
    <w:p w14:paraId="25593999" w14:textId="14EFE7BB"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Environmental Stewardship</w:t>
      </w:r>
    </w:p>
    <w:p w14:paraId="6B03662A"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066BC41E" w14:textId="77777777">
        <w:tc>
          <w:tcPr>
            <w:tcW w:w="1548" w:type="dxa"/>
            <w:vMerge w:val="restart"/>
            <w:tcMar>
              <w:top w:w="0" w:type="dxa"/>
              <w:left w:w="108" w:type="dxa"/>
              <w:bottom w:w="0" w:type="dxa"/>
              <w:right w:w="108" w:type="dxa"/>
            </w:tcMar>
            <w:hideMark/>
          </w:tcPr>
          <w:p w14:paraId="7C73535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6F50203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F0DD6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1818391" w14:textId="77777777">
        <w:trPr>
          <w:trHeight w:val="377"/>
        </w:trPr>
        <w:tc>
          <w:tcPr>
            <w:tcW w:w="1548" w:type="dxa"/>
            <w:vMerge/>
            <w:tcMar>
              <w:top w:w="0" w:type="dxa"/>
              <w:left w:w="108" w:type="dxa"/>
              <w:bottom w:w="0" w:type="dxa"/>
              <w:right w:w="108" w:type="dxa"/>
            </w:tcMar>
          </w:tcPr>
          <w:p w14:paraId="6F4F6FD0"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5581724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6208EC7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0B64B507"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FB19504" w14:textId="77777777">
        <w:tc>
          <w:tcPr>
            <w:tcW w:w="1548" w:type="dxa"/>
            <w:vMerge w:val="restart"/>
            <w:tcMar>
              <w:top w:w="0" w:type="dxa"/>
              <w:left w:w="108" w:type="dxa"/>
              <w:bottom w:w="0" w:type="dxa"/>
              <w:right w:w="108" w:type="dxa"/>
            </w:tcMar>
          </w:tcPr>
          <w:p w14:paraId="50A12A1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At-Risk Ecosystems</w:t>
            </w:r>
          </w:p>
          <w:p w14:paraId="51D89B15"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7DC24F9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EN4:  Acres of parks or public land treated</w:t>
            </w:r>
          </w:p>
        </w:tc>
        <w:tc>
          <w:tcPr>
            <w:tcW w:w="3150" w:type="dxa"/>
          </w:tcPr>
          <w:p w14:paraId="22744154" w14:textId="1060FBC4"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EN4.1: </w:t>
            </w:r>
            <w:r w:rsidR="00B43B9A" w:rsidRPr="004D40EA">
              <w:rPr>
                <w:rFonts w:ascii="Avenir Next LT Pro" w:eastAsia="ヒラギノ角ゴ Pro W3" w:hAnsi="Avenir Next LT Pro"/>
                <w:color w:val="000000"/>
                <w:sz w:val="20"/>
                <w:szCs w:val="20"/>
              </w:rPr>
              <w:t>Number of acres of public parks or other public and tribal lands that are improved</w:t>
            </w:r>
          </w:p>
        </w:tc>
        <w:tc>
          <w:tcPr>
            <w:tcW w:w="2628" w:type="dxa"/>
            <w:tcMar>
              <w:top w:w="0" w:type="dxa"/>
              <w:left w:w="108" w:type="dxa"/>
              <w:bottom w:w="0" w:type="dxa"/>
              <w:right w:w="108" w:type="dxa"/>
            </w:tcMar>
          </w:tcPr>
          <w:p w14:paraId="60FAF58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16AA16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163BA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0AB8F5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74BE4BA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43690A01" w14:textId="2CA36970" w:rsidR="0041126D" w:rsidRPr="004D40EA" w:rsidRDefault="0041126D">
            <w:pPr>
              <w:spacing w:after="0" w:line="240" w:lineRule="auto"/>
              <w:contextualSpacing/>
              <w:rPr>
                <w:rFonts w:ascii="Avenir Next LT Pro" w:hAnsi="Avenir Next LT Pro"/>
                <w:sz w:val="20"/>
                <w:szCs w:val="20"/>
              </w:rPr>
            </w:pPr>
          </w:p>
        </w:tc>
      </w:tr>
      <w:tr w:rsidR="0041126D" w:rsidRPr="004D40EA" w14:paraId="5A6C7ED2" w14:textId="77777777">
        <w:tc>
          <w:tcPr>
            <w:tcW w:w="1548" w:type="dxa"/>
            <w:vMerge/>
            <w:tcMar>
              <w:top w:w="0" w:type="dxa"/>
              <w:left w:w="108" w:type="dxa"/>
              <w:bottom w:w="0" w:type="dxa"/>
              <w:right w:w="108" w:type="dxa"/>
            </w:tcMar>
          </w:tcPr>
          <w:p w14:paraId="4AAE8D53"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5707EF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150" w:type="dxa"/>
          </w:tcPr>
          <w:p w14:paraId="67C2E2ED" w14:textId="4826883E"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EN5.1: </w:t>
            </w:r>
            <w:r w:rsidR="00694711" w:rsidRPr="004D40EA">
              <w:rPr>
                <w:rFonts w:ascii="Avenir Next LT Pro" w:eastAsia="ヒラギノ角ゴ Pro W3" w:hAnsi="Avenir Next LT Pro"/>
                <w:color w:val="000000"/>
                <w:sz w:val="20"/>
                <w:szCs w:val="20"/>
              </w:rPr>
              <w:t>Number of miles of public trails or waterways that are improved and/or put into use</w:t>
            </w:r>
          </w:p>
        </w:tc>
        <w:tc>
          <w:tcPr>
            <w:tcW w:w="2628" w:type="dxa"/>
            <w:tcMar>
              <w:top w:w="0" w:type="dxa"/>
              <w:left w:w="108" w:type="dxa"/>
              <w:bottom w:w="0" w:type="dxa"/>
              <w:right w:w="108" w:type="dxa"/>
            </w:tcMar>
          </w:tcPr>
          <w:p w14:paraId="3A8896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Creation</w:t>
            </w:r>
          </w:p>
          <w:p w14:paraId="24F74F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Remediation</w:t>
            </w:r>
          </w:p>
          <w:p w14:paraId="3EB60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Stream Remediation</w:t>
            </w:r>
          </w:p>
          <w:p w14:paraId="67C9A5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3DD3AA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7C48D46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1108FD1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20E1F91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181E388F" w14:textId="1410B1F3" w:rsidR="0041126D" w:rsidRPr="004D40EA" w:rsidRDefault="0041126D">
            <w:pPr>
              <w:spacing w:after="0" w:line="240" w:lineRule="auto"/>
              <w:contextualSpacing/>
              <w:rPr>
                <w:rFonts w:ascii="Avenir Next LT Pro" w:hAnsi="Avenir Next LT Pro"/>
                <w:sz w:val="20"/>
                <w:szCs w:val="20"/>
              </w:rPr>
            </w:pPr>
          </w:p>
        </w:tc>
      </w:tr>
      <w:tr w:rsidR="0041126D" w:rsidRPr="004D40EA" w14:paraId="747DD2B3" w14:textId="77777777">
        <w:tc>
          <w:tcPr>
            <w:tcW w:w="1548" w:type="dxa"/>
            <w:tcMar>
              <w:top w:w="0" w:type="dxa"/>
              <w:left w:w="108" w:type="dxa"/>
              <w:bottom w:w="0" w:type="dxa"/>
              <w:right w:w="108" w:type="dxa"/>
            </w:tcMar>
          </w:tcPr>
          <w:p w14:paraId="0F4A12F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Energy Efficiency</w:t>
            </w:r>
          </w:p>
        </w:tc>
        <w:tc>
          <w:tcPr>
            <w:tcW w:w="2250" w:type="dxa"/>
            <w:tcMar>
              <w:top w:w="0" w:type="dxa"/>
              <w:left w:w="108" w:type="dxa"/>
              <w:bottom w:w="0" w:type="dxa"/>
              <w:right w:w="108" w:type="dxa"/>
            </w:tcMar>
          </w:tcPr>
          <w:p w14:paraId="27C6249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EN1:  Number of housing units or public structures weatherized or retrofitted to improve energy efficiency</w:t>
            </w:r>
          </w:p>
        </w:tc>
        <w:tc>
          <w:tcPr>
            <w:tcW w:w="3150" w:type="dxa"/>
          </w:tcPr>
          <w:p w14:paraId="7776515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EN1.1: Number of housing units or public structures with reduced energy consumption or reduced energy costs</w:t>
            </w:r>
          </w:p>
        </w:tc>
        <w:tc>
          <w:tcPr>
            <w:tcW w:w="2628" w:type="dxa"/>
            <w:tcMar>
              <w:top w:w="0" w:type="dxa"/>
              <w:left w:w="108" w:type="dxa"/>
              <w:bottom w:w="0" w:type="dxa"/>
              <w:right w:w="108" w:type="dxa"/>
            </w:tcMar>
          </w:tcPr>
          <w:p w14:paraId="111ADE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Weatherization</w:t>
            </w:r>
          </w:p>
          <w:p w14:paraId="4ECD3C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Retrofitting</w:t>
            </w:r>
            <w:r w:rsidRPr="004D40EA" w:rsidDel="00E963DE">
              <w:rPr>
                <w:rFonts w:ascii="Avenir Next LT Pro" w:hAnsi="Avenir Next LT Pro"/>
                <w:sz w:val="20"/>
                <w:szCs w:val="20"/>
              </w:rPr>
              <w:t xml:space="preserve"> </w:t>
            </w:r>
          </w:p>
          <w:p w14:paraId="328D5EE2" w14:textId="5F877CF6" w:rsidR="0041126D" w:rsidRPr="004D40EA" w:rsidRDefault="0041126D">
            <w:pPr>
              <w:spacing w:after="0" w:line="240" w:lineRule="auto"/>
              <w:contextualSpacing/>
              <w:rPr>
                <w:rFonts w:ascii="Avenir Next LT Pro" w:hAnsi="Avenir Next LT Pro"/>
                <w:sz w:val="20"/>
                <w:szCs w:val="20"/>
              </w:rPr>
            </w:pPr>
          </w:p>
        </w:tc>
      </w:tr>
      <w:tr w:rsidR="0041126D" w:rsidRPr="004D40EA" w14:paraId="6FABFC0A" w14:textId="77777777">
        <w:tc>
          <w:tcPr>
            <w:tcW w:w="1548" w:type="dxa"/>
            <w:tcMar>
              <w:top w:w="0" w:type="dxa"/>
              <w:left w:w="108" w:type="dxa"/>
              <w:bottom w:w="0" w:type="dxa"/>
              <w:right w:w="108" w:type="dxa"/>
            </w:tcMar>
          </w:tcPr>
          <w:p w14:paraId="1A090B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Awareness &amp; Stewardship</w:t>
            </w:r>
          </w:p>
        </w:tc>
        <w:tc>
          <w:tcPr>
            <w:tcW w:w="2250" w:type="dxa"/>
            <w:tcMar>
              <w:top w:w="0" w:type="dxa"/>
              <w:left w:w="108" w:type="dxa"/>
              <w:bottom w:w="0" w:type="dxa"/>
              <w:right w:w="108" w:type="dxa"/>
            </w:tcMar>
          </w:tcPr>
          <w:p w14:paraId="680FB07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EN3: Number of individuals receiving education or training in environmental stewardship and/or environmentally-conscious practices</w:t>
            </w:r>
            <w:r w:rsidRPr="004D40EA" w:rsidDel="00E963DE">
              <w:rPr>
                <w:rFonts w:ascii="Avenir Next LT Pro" w:hAnsi="Avenir Next LT Pro"/>
                <w:sz w:val="20"/>
                <w:szCs w:val="20"/>
              </w:rPr>
              <w:t xml:space="preserve"> </w:t>
            </w:r>
          </w:p>
        </w:tc>
        <w:tc>
          <w:tcPr>
            <w:tcW w:w="3150" w:type="dxa"/>
          </w:tcPr>
          <w:p w14:paraId="3CF2DAE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EN3.1: Number of individuals with increased knowledge of environmental stewardship and/or environmentally-conscious practices</w:t>
            </w:r>
          </w:p>
          <w:p w14:paraId="4BC4461A" w14:textId="77777777" w:rsidR="0041126D" w:rsidRPr="004D40EA" w:rsidRDefault="0041126D">
            <w:pPr>
              <w:spacing w:after="0" w:line="240" w:lineRule="auto"/>
              <w:ind w:left="90"/>
              <w:contextualSpacing/>
              <w:rPr>
                <w:rFonts w:ascii="Avenir Next LT Pro" w:hAnsi="Avenir Next LT Pro"/>
                <w:sz w:val="20"/>
                <w:szCs w:val="20"/>
              </w:rPr>
            </w:pPr>
          </w:p>
          <w:p w14:paraId="43C23527"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EN3.2: Number of individuals reporting a change in behavior or intention to change behavior to better protect the environment</w:t>
            </w:r>
          </w:p>
        </w:tc>
        <w:tc>
          <w:tcPr>
            <w:tcW w:w="2628" w:type="dxa"/>
            <w:tcMar>
              <w:top w:w="0" w:type="dxa"/>
              <w:left w:w="108" w:type="dxa"/>
              <w:bottom w:w="0" w:type="dxa"/>
              <w:right w:w="108" w:type="dxa"/>
            </w:tcMar>
          </w:tcPr>
          <w:p w14:paraId="0C7DED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56116EB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r w:rsidRPr="004D40EA" w:rsidDel="00E963DE">
              <w:rPr>
                <w:rFonts w:ascii="Avenir Next LT Pro" w:hAnsi="Avenir Next LT Pro"/>
                <w:sz w:val="20"/>
                <w:szCs w:val="20"/>
              </w:rPr>
              <w:t xml:space="preserve"> </w:t>
            </w:r>
          </w:p>
          <w:p w14:paraId="75D10B50" w14:textId="6BD1C05B" w:rsidR="0041126D" w:rsidRPr="004D40EA" w:rsidRDefault="0041126D">
            <w:pPr>
              <w:spacing w:after="0" w:line="240" w:lineRule="auto"/>
              <w:contextualSpacing/>
              <w:rPr>
                <w:rFonts w:ascii="Avenir Next LT Pro" w:hAnsi="Avenir Next LT Pro"/>
                <w:sz w:val="20"/>
                <w:szCs w:val="20"/>
              </w:rPr>
            </w:pPr>
          </w:p>
        </w:tc>
      </w:tr>
      <w:tr w:rsidR="0041126D" w:rsidRPr="004D40EA" w14:paraId="7127F783" w14:textId="77777777">
        <w:tc>
          <w:tcPr>
            <w:tcW w:w="1548" w:type="dxa"/>
            <w:tcMar>
              <w:top w:w="0" w:type="dxa"/>
              <w:left w:w="108" w:type="dxa"/>
              <w:bottom w:w="0" w:type="dxa"/>
              <w:right w:w="108" w:type="dxa"/>
            </w:tcMar>
          </w:tcPr>
          <w:p w14:paraId="33F0EEC4" w14:textId="68CD5ED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D0494AB" w14:textId="29BC3AA5" w:rsidR="0041126D" w:rsidRPr="004D40EA" w:rsidRDefault="0041126D">
            <w:pPr>
              <w:spacing w:after="0" w:line="240" w:lineRule="auto"/>
              <w:contextualSpacing/>
              <w:rPr>
                <w:rFonts w:ascii="Avenir Next LT Pro" w:hAnsi="Avenir Next LT Pro"/>
                <w:sz w:val="20"/>
                <w:szCs w:val="20"/>
              </w:rPr>
            </w:pPr>
          </w:p>
        </w:tc>
        <w:tc>
          <w:tcPr>
            <w:tcW w:w="3150" w:type="dxa"/>
          </w:tcPr>
          <w:p w14:paraId="73C83830" w14:textId="35228BEE" w:rsidR="0041126D" w:rsidRPr="004D40EA" w:rsidRDefault="0041126D">
            <w:pPr>
              <w:spacing w:after="0" w:line="240" w:lineRule="auto"/>
              <w:ind w:left="90"/>
              <w:contextualSpacing/>
              <w:rPr>
                <w:rFonts w:ascii="Avenir Next LT Pro" w:hAnsi="Avenir Next LT Pro"/>
                <w:sz w:val="20"/>
                <w:szCs w:val="20"/>
              </w:rPr>
            </w:pPr>
          </w:p>
        </w:tc>
        <w:tc>
          <w:tcPr>
            <w:tcW w:w="2628" w:type="dxa"/>
            <w:tcMar>
              <w:top w:w="0" w:type="dxa"/>
              <w:left w:w="108" w:type="dxa"/>
              <w:bottom w:w="0" w:type="dxa"/>
              <w:right w:w="108" w:type="dxa"/>
            </w:tcMar>
          </w:tcPr>
          <w:p w14:paraId="632081FF" w14:textId="095F07F3" w:rsidR="0041126D" w:rsidRPr="004D40EA" w:rsidRDefault="0041126D">
            <w:pPr>
              <w:spacing w:after="0" w:line="240" w:lineRule="auto"/>
              <w:contextualSpacing/>
              <w:rPr>
                <w:rFonts w:ascii="Avenir Next LT Pro" w:hAnsi="Avenir Next LT Pro"/>
                <w:sz w:val="20"/>
                <w:szCs w:val="20"/>
              </w:rPr>
            </w:pPr>
          </w:p>
        </w:tc>
      </w:tr>
    </w:tbl>
    <w:p w14:paraId="254F61AA"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71628102" w14:textId="77777777" w:rsidR="0041126D" w:rsidRPr="004D40EA" w:rsidRDefault="0041126D" w:rsidP="0041126D">
      <w:pPr>
        <w:spacing w:after="0" w:line="240" w:lineRule="auto"/>
        <w:contextualSpacing/>
        <w:rPr>
          <w:rFonts w:ascii="Avenir Next LT Pro" w:hAnsi="Avenir Next LT Pro"/>
          <w:sz w:val="20"/>
          <w:szCs w:val="20"/>
        </w:rPr>
      </w:pPr>
    </w:p>
    <w:p w14:paraId="6AFC2A27" w14:textId="77777777" w:rsidR="0041126D" w:rsidRPr="004D40EA" w:rsidRDefault="0041126D" w:rsidP="0041126D">
      <w:pPr>
        <w:spacing w:after="0" w:line="240" w:lineRule="auto"/>
        <w:contextualSpacing/>
        <w:rPr>
          <w:rFonts w:ascii="Avenir Next LT Pro" w:hAnsi="Avenir Next LT Pro"/>
          <w:sz w:val="20"/>
          <w:szCs w:val="20"/>
        </w:rPr>
      </w:pPr>
    </w:p>
    <w:p w14:paraId="66EA00E5"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Healthy Futures</w:t>
      </w:r>
    </w:p>
    <w:p w14:paraId="3A312C3B"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2186"/>
        <w:gridCol w:w="3037"/>
        <w:gridCol w:w="2603"/>
      </w:tblGrid>
      <w:tr w:rsidR="0041126D" w:rsidRPr="004D40EA" w14:paraId="79D61E21" w14:textId="77777777" w:rsidTr="5779A35C">
        <w:tc>
          <w:tcPr>
            <w:tcW w:w="1548" w:type="dxa"/>
            <w:vMerge w:val="restart"/>
            <w:tcMar>
              <w:top w:w="0" w:type="dxa"/>
              <w:left w:w="108" w:type="dxa"/>
              <w:bottom w:w="0" w:type="dxa"/>
              <w:right w:w="108" w:type="dxa"/>
            </w:tcMar>
            <w:hideMark/>
          </w:tcPr>
          <w:p w14:paraId="0B7AA183"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7A92DC6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1E560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78AF06C2" w14:textId="77777777" w:rsidTr="5779A35C">
        <w:trPr>
          <w:trHeight w:val="377"/>
        </w:trPr>
        <w:tc>
          <w:tcPr>
            <w:tcW w:w="1548" w:type="dxa"/>
            <w:vMerge/>
            <w:tcMar>
              <w:top w:w="0" w:type="dxa"/>
              <w:left w:w="108" w:type="dxa"/>
              <w:bottom w:w="0" w:type="dxa"/>
              <w:right w:w="108" w:type="dxa"/>
            </w:tcMar>
          </w:tcPr>
          <w:p w14:paraId="264ED9FE"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A0D9E7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3784459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686EAB50"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825148D" w14:textId="77777777" w:rsidTr="5779A35C">
        <w:tc>
          <w:tcPr>
            <w:tcW w:w="1548" w:type="dxa"/>
            <w:tcMar>
              <w:top w:w="0" w:type="dxa"/>
              <w:left w:w="108" w:type="dxa"/>
              <w:bottom w:w="0" w:type="dxa"/>
              <w:right w:w="108" w:type="dxa"/>
            </w:tcMar>
          </w:tcPr>
          <w:p w14:paraId="6DA333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Aging in Place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8FB3B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492EDEA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H9A:  Number of individuals who report improved capacity for independent living</w:t>
            </w:r>
          </w:p>
          <w:p w14:paraId="26219513" w14:textId="77777777" w:rsidR="0041126D" w:rsidRPr="004D40EA" w:rsidRDefault="0041126D">
            <w:pPr>
              <w:spacing w:after="0" w:line="240" w:lineRule="auto"/>
              <w:ind w:left="90"/>
              <w:contextualSpacing/>
              <w:rPr>
                <w:rFonts w:ascii="Avenir Next LT Pro" w:hAnsi="Avenir Next LT Pro"/>
                <w:sz w:val="20"/>
                <w:szCs w:val="20"/>
              </w:rPr>
            </w:pPr>
          </w:p>
          <w:p w14:paraId="7160C7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8E1C6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787AB85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6FE4E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350DB2A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Transportation</w:t>
            </w:r>
          </w:p>
          <w:p w14:paraId="698BF8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39C6512E"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 xml:space="preserve">Opioid/Drug Intervention </w:t>
            </w:r>
          </w:p>
        </w:tc>
      </w:tr>
      <w:tr w:rsidR="0041126D" w:rsidRPr="004D40EA" w14:paraId="4CF94786" w14:textId="77777777" w:rsidTr="5779A35C">
        <w:tc>
          <w:tcPr>
            <w:tcW w:w="1548" w:type="dxa"/>
            <w:vMerge w:val="restart"/>
            <w:tcMar>
              <w:top w:w="0" w:type="dxa"/>
              <w:left w:w="108" w:type="dxa"/>
              <w:bottom w:w="0" w:type="dxa"/>
              <w:right w:w="108" w:type="dxa"/>
            </w:tcMar>
          </w:tcPr>
          <w:p w14:paraId="1192199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Obesity &amp; Food</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CECDB2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H4A:  Number of individuals served </w:t>
            </w:r>
          </w:p>
        </w:tc>
        <w:tc>
          <w:tcPr>
            <w:tcW w:w="3150" w:type="dxa"/>
          </w:tcPr>
          <w:p w14:paraId="15A00F1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H12:  Number of individuals who report increased food security</w:t>
            </w:r>
          </w:p>
          <w:p w14:paraId="38705188" w14:textId="77777777" w:rsidR="0041126D" w:rsidRPr="004D40EA" w:rsidRDefault="0041126D">
            <w:pPr>
              <w:spacing w:after="0" w:line="240" w:lineRule="auto"/>
              <w:ind w:left="90"/>
              <w:contextualSpacing/>
              <w:rPr>
                <w:rFonts w:ascii="Avenir Next LT Pro" w:hAnsi="Avenir Next LT Pro"/>
                <w:sz w:val="20"/>
                <w:szCs w:val="20"/>
              </w:rPr>
            </w:pPr>
          </w:p>
          <w:p w14:paraId="47F4964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0D35699A" w14:textId="77777777" w:rsidR="0041126D" w:rsidRPr="004D40EA" w:rsidRDefault="0041126D">
            <w:pPr>
              <w:spacing w:after="0" w:line="240" w:lineRule="auto"/>
              <w:ind w:left="90"/>
              <w:contextualSpacing/>
              <w:rPr>
                <w:rFonts w:ascii="Avenir Next LT Pro" w:hAnsi="Avenir Next LT Pro"/>
                <w:sz w:val="20"/>
                <w:szCs w:val="20"/>
              </w:rPr>
            </w:pPr>
          </w:p>
          <w:p w14:paraId="5520E39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  Number of individuals reporting a change in behavior or intent to change behavior to improve their health</w:t>
            </w:r>
          </w:p>
          <w:p w14:paraId="69C78C2A" w14:textId="77777777" w:rsidR="0041126D" w:rsidRPr="004D40EA" w:rsidRDefault="0041126D">
            <w:pPr>
              <w:spacing w:after="0" w:line="240" w:lineRule="auto"/>
              <w:ind w:left="90"/>
              <w:contextualSpacing/>
              <w:rPr>
                <w:rFonts w:ascii="Avenir Next LT Pro" w:hAnsi="Avenir Next LT Pro"/>
                <w:sz w:val="20"/>
                <w:szCs w:val="20"/>
              </w:rPr>
            </w:pPr>
          </w:p>
          <w:p w14:paraId="27591A9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05D41C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34B1815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18BB4E0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4AD4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675F31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49F4A8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49E5A55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A03C06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r w:rsidRPr="004D40EA" w:rsidDel="00C517F3">
              <w:rPr>
                <w:rFonts w:ascii="Avenir Next LT Pro" w:hAnsi="Avenir Next LT Pro"/>
                <w:sz w:val="20"/>
                <w:szCs w:val="20"/>
              </w:rPr>
              <w:t xml:space="preserve"> </w:t>
            </w:r>
          </w:p>
        </w:tc>
      </w:tr>
      <w:tr w:rsidR="0041126D" w:rsidRPr="004D40EA" w14:paraId="7750500B" w14:textId="77777777" w:rsidTr="5779A35C">
        <w:tc>
          <w:tcPr>
            <w:tcW w:w="1548" w:type="dxa"/>
            <w:vMerge/>
            <w:tcMar>
              <w:top w:w="0" w:type="dxa"/>
              <w:left w:w="108" w:type="dxa"/>
              <w:bottom w:w="0" w:type="dxa"/>
              <w:right w:w="108" w:type="dxa"/>
            </w:tcMar>
          </w:tcPr>
          <w:p w14:paraId="1239AF2F"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A0246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H10A:  Number of pounds of food provided</w:t>
            </w:r>
          </w:p>
        </w:tc>
        <w:tc>
          <w:tcPr>
            <w:tcW w:w="3150" w:type="dxa"/>
          </w:tcPr>
          <w:p w14:paraId="5464526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27B9873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3852E5D"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5763908" w14:textId="77777777" w:rsidTr="5779A35C">
        <w:tc>
          <w:tcPr>
            <w:tcW w:w="1548" w:type="dxa"/>
            <w:tcMar>
              <w:top w:w="0" w:type="dxa"/>
              <w:left w:w="108" w:type="dxa"/>
              <w:bottom w:w="0" w:type="dxa"/>
              <w:right w:w="108" w:type="dxa"/>
            </w:tcMar>
          </w:tcPr>
          <w:p w14:paraId="5F1BA0E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Access to Care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41F939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110CA8D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2DB612E7" w14:textId="77777777" w:rsidR="0041126D" w:rsidRPr="004D40EA" w:rsidRDefault="0041126D">
            <w:pPr>
              <w:spacing w:after="0" w:line="240" w:lineRule="auto"/>
              <w:ind w:left="90"/>
              <w:contextualSpacing/>
              <w:rPr>
                <w:rFonts w:ascii="Avenir Next LT Pro" w:hAnsi="Avenir Next LT Pro"/>
                <w:sz w:val="20"/>
                <w:szCs w:val="20"/>
              </w:rPr>
            </w:pPr>
          </w:p>
          <w:p w14:paraId="3CFFF6B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  Number of individuals reporting a change in behavior or intent to change behavior to improve their health</w:t>
            </w:r>
          </w:p>
          <w:p w14:paraId="42A9B429" w14:textId="77777777" w:rsidR="0041126D" w:rsidRPr="004D40EA" w:rsidRDefault="0041126D">
            <w:pPr>
              <w:spacing w:after="0" w:line="240" w:lineRule="auto"/>
              <w:ind w:left="90"/>
              <w:contextualSpacing/>
              <w:rPr>
                <w:rFonts w:ascii="Avenir Next LT Pro" w:hAnsi="Avenir Next LT Pro"/>
                <w:sz w:val="20"/>
                <w:szCs w:val="20"/>
              </w:rPr>
            </w:pPr>
          </w:p>
          <w:p w14:paraId="03715A4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EA0C695" w14:textId="77777777" w:rsidR="0041126D" w:rsidRPr="004D40EA" w:rsidRDefault="0041126D">
            <w:pPr>
              <w:spacing w:after="0" w:line="240" w:lineRule="auto"/>
              <w:ind w:left="90"/>
              <w:contextualSpacing/>
              <w:rPr>
                <w:rFonts w:ascii="Avenir Next LT Pro" w:hAnsi="Avenir Next LT Pro"/>
                <w:sz w:val="20"/>
                <w:szCs w:val="20"/>
              </w:rPr>
            </w:pPr>
          </w:p>
          <w:p w14:paraId="68EF20D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628" w:type="dxa"/>
            <w:tcMar>
              <w:top w:w="0" w:type="dxa"/>
              <w:left w:w="108" w:type="dxa"/>
              <w:bottom w:w="0" w:type="dxa"/>
              <w:right w:w="108" w:type="dxa"/>
            </w:tcMar>
          </w:tcPr>
          <w:p w14:paraId="38CBA2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77207D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347AE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9A19B3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7CCD6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84977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tc>
      </w:tr>
      <w:tr w:rsidR="0041126D" w:rsidRPr="004D40EA" w14:paraId="2B02780B" w14:textId="77777777" w:rsidTr="5779A35C">
        <w:tc>
          <w:tcPr>
            <w:tcW w:w="1548" w:type="dxa"/>
            <w:tcMar>
              <w:top w:w="0" w:type="dxa"/>
              <w:left w:w="108" w:type="dxa"/>
              <w:bottom w:w="0" w:type="dxa"/>
              <w:right w:w="108" w:type="dxa"/>
            </w:tcMar>
          </w:tcPr>
          <w:p w14:paraId="2376AB7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Healthy Futures</w:t>
            </w:r>
          </w:p>
        </w:tc>
        <w:tc>
          <w:tcPr>
            <w:tcW w:w="2250" w:type="dxa"/>
            <w:tcMar>
              <w:top w:w="0" w:type="dxa"/>
              <w:left w:w="108" w:type="dxa"/>
              <w:bottom w:w="0" w:type="dxa"/>
              <w:right w:w="108" w:type="dxa"/>
            </w:tcMar>
          </w:tcPr>
          <w:p w14:paraId="1A9DD47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33ECD55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FC0301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C3F79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0FF360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Veterans and Military Families</w:t>
      </w:r>
    </w:p>
    <w:p w14:paraId="49C864E9" w14:textId="77777777" w:rsidR="0041126D" w:rsidRPr="004D40EA" w:rsidRDefault="0041126D" w:rsidP="0041126D">
      <w:pPr>
        <w:spacing w:after="0" w:line="240" w:lineRule="auto"/>
        <w:contextualSpacing/>
        <w:rPr>
          <w:rFonts w:ascii="Avenir Next LT Pro" w:hAnsi="Avenir Next LT Pro"/>
          <w:b/>
          <w:sz w:val="20"/>
          <w:szCs w:val="20"/>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2"/>
        <w:gridCol w:w="2281"/>
        <w:gridCol w:w="3163"/>
        <w:gridCol w:w="2711"/>
      </w:tblGrid>
      <w:tr w:rsidR="0041126D" w:rsidRPr="004D40EA" w14:paraId="17AA79BB" w14:textId="77777777" w:rsidTr="5779A35C">
        <w:trPr>
          <w:trHeight w:val="229"/>
        </w:trPr>
        <w:tc>
          <w:tcPr>
            <w:tcW w:w="1532" w:type="dxa"/>
            <w:vMerge w:val="restart"/>
            <w:tcMar>
              <w:top w:w="0" w:type="dxa"/>
              <w:left w:w="108" w:type="dxa"/>
              <w:bottom w:w="0" w:type="dxa"/>
              <w:right w:w="108" w:type="dxa"/>
            </w:tcMar>
            <w:hideMark/>
          </w:tcPr>
          <w:p w14:paraId="27D42B98"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44" w:type="dxa"/>
            <w:gridSpan w:val="2"/>
            <w:tcMar>
              <w:top w:w="0" w:type="dxa"/>
              <w:left w:w="108" w:type="dxa"/>
              <w:bottom w:w="0" w:type="dxa"/>
              <w:right w:w="108" w:type="dxa"/>
            </w:tcMar>
            <w:hideMark/>
          </w:tcPr>
          <w:p w14:paraId="11991DB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11" w:type="dxa"/>
            <w:vMerge w:val="restart"/>
            <w:tcMar>
              <w:top w:w="0" w:type="dxa"/>
              <w:left w:w="108" w:type="dxa"/>
              <w:bottom w:w="0" w:type="dxa"/>
              <w:right w:w="108" w:type="dxa"/>
            </w:tcMar>
            <w:hideMark/>
          </w:tcPr>
          <w:p w14:paraId="3A16CC5A"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2E2927" w14:textId="77777777" w:rsidTr="5779A35C">
        <w:trPr>
          <w:trHeight w:val="375"/>
        </w:trPr>
        <w:tc>
          <w:tcPr>
            <w:tcW w:w="1532" w:type="dxa"/>
            <w:vMerge/>
            <w:tcMar>
              <w:top w:w="0" w:type="dxa"/>
              <w:left w:w="108" w:type="dxa"/>
              <w:bottom w:w="0" w:type="dxa"/>
              <w:right w:w="108" w:type="dxa"/>
            </w:tcMar>
          </w:tcPr>
          <w:p w14:paraId="020CB708" w14:textId="77777777" w:rsidR="0041126D" w:rsidRPr="004D40EA" w:rsidRDefault="0041126D">
            <w:pPr>
              <w:spacing w:after="0" w:line="240" w:lineRule="auto"/>
              <w:contextualSpacing/>
              <w:rPr>
                <w:rFonts w:ascii="Avenir Next LT Pro" w:hAnsi="Avenir Next LT Pro"/>
                <w:sz w:val="20"/>
                <w:szCs w:val="20"/>
              </w:rPr>
            </w:pPr>
          </w:p>
        </w:tc>
        <w:tc>
          <w:tcPr>
            <w:tcW w:w="2281" w:type="dxa"/>
            <w:tcMar>
              <w:top w:w="0" w:type="dxa"/>
              <w:left w:w="108" w:type="dxa"/>
              <w:bottom w:w="0" w:type="dxa"/>
              <w:right w:w="108" w:type="dxa"/>
            </w:tcMar>
          </w:tcPr>
          <w:p w14:paraId="3CD654F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63" w:type="dxa"/>
          </w:tcPr>
          <w:p w14:paraId="058593B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711" w:type="dxa"/>
            <w:vMerge/>
            <w:tcMar>
              <w:top w:w="0" w:type="dxa"/>
              <w:left w:w="108" w:type="dxa"/>
              <w:bottom w:w="0" w:type="dxa"/>
              <w:right w:w="108" w:type="dxa"/>
            </w:tcMar>
          </w:tcPr>
          <w:p w14:paraId="7081C9F8"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9449655" w14:textId="77777777" w:rsidTr="5779A35C">
        <w:trPr>
          <w:trHeight w:val="8484"/>
        </w:trPr>
        <w:tc>
          <w:tcPr>
            <w:tcW w:w="1532" w:type="dxa"/>
            <w:tcMar>
              <w:top w:w="0" w:type="dxa"/>
              <w:left w:w="108" w:type="dxa"/>
              <w:bottom w:w="0" w:type="dxa"/>
              <w:right w:w="108" w:type="dxa"/>
            </w:tcMar>
          </w:tcPr>
          <w:p w14:paraId="0BED92F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Veterans &amp; Families Served</w:t>
            </w:r>
          </w:p>
        </w:tc>
        <w:tc>
          <w:tcPr>
            <w:tcW w:w="2281" w:type="dxa"/>
            <w:tcMar>
              <w:top w:w="0" w:type="dxa"/>
              <w:left w:w="108" w:type="dxa"/>
              <w:bottom w:w="0" w:type="dxa"/>
              <w:right w:w="108" w:type="dxa"/>
            </w:tcMar>
          </w:tcPr>
          <w:p w14:paraId="342BC0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V1:  Number of veterans served </w:t>
            </w:r>
          </w:p>
          <w:p w14:paraId="0D80415A" w14:textId="77777777" w:rsidR="0041126D" w:rsidRPr="004D40EA" w:rsidRDefault="0041126D">
            <w:pPr>
              <w:spacing w:after="0" w:line="240" w:lineRule="auto"/>
              <w:contextualSpacing/>
              <w:rPr>
                <w:rFonts w:ascii="Avenir Next LT Pro" w:hAnsi="Avenir Next LT Pro"/>
                <w:sz w:val="20"/>
                <w:szCs w:val="20"/>
              </w:rPr>
            </w:pPr>
          </w:p>
          <w:p w14:paraId="0C57D3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V7A:  Number of active military members and/or military family members served</w:t>
            </w:r>
          </w:p>
          <w:p w14:paraId="2060F768" w14:textId="77777777" w:rsidR="0041126D" w:rsidRPr="004D40EA" w:rsidRDefault="0041126D">
            <w:pPr>
              <w:spacing w:after="0" w:line="240" w:lineRule="auto"/>
              <w:contextualSpacing/>
              <w:rPr>
                <w:rFonts w:ascii="Avenir Next LT Pro" w:hAnsi="Avenir Next LT Pro"/>
                <w:sz w:val="20"/>
                <w:szCs w:val="20"/>
              </w:rPr>
            </w:pPr>
          </w:p>
          <w:p w14:paraId="43001CE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V8:  Number of veteran family members served</w:t>
            </w:r>
          </w:p>
        </w:tc>
        <w:tc>
          <w:tcPr>
            <w:tcW w:w="3163" w:type="dxa"/>
          </w:tcPr>
          <w:p w14:paraId="7661DF1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p w14:paraId="23B8B4B9" w14:textId="77777777" w:rsidR="0041126D" w:rsidRPr="004D40EA" w:rsidRDefault="0041126D">
            <w:pPr>
              <w:spacing w:after="0" w:line="240" w:lineRule="auto"/>
              <w:ind w:left="90"/>
              <w:contextualSpacing/>
              <w:rPr>
                <w:rFonts w:ascii="Avenir Next LT Pro" w:hAnsi="Avenir Next LT Pro"/>
                <w:sz w:val="20"/>
                <w:szCs w:val="20"/>
              </w:rPr>
            </w:pPr>
          </w:p>
          <w:p w14:paraId="7FF9F3BF"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  Number of individuals transitioned into safe/affordable housing</w:t>
            </w:r>
          </w:p>
          <w:p w14:paraId="3308DEB9" w14:textId="77777777" w:rsidR="0041126D" w:rsidRPr="004D40EA" w:rsidRDefault="0041126D">
            <w:pPr>
              <w:spacing w:after="0" w:line="240" w:lineRule="auto"/>
              <w:ind w:left="90"/>
              <w:contextualSpacing/>
              <w:rPr>
                <w:rFonts w:ascii="Avenir Next LT Pro" w:hAnsi="Avenir Next LT Pro"/>
                <w:sz w:val="20"/>
                <w:szCs w:val="20"/>
              </w:rPr>
            </w:pPr>
          </w:p>
          <w:p w14:paraId="76552E4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O10**:  Number of individuals who secure employment </w:t>
            </w:r>
          </w:p>
          <w:p w14:paraId="3CDC65A8" w14:textId="77777777" w:rsidR="0041126D" w:rsidRPr="004D40EA" w:rsidRDefault="0041126D">
            <w:pPr>
              <w:spacing w:after="0" w:line="240" w:lineRule="auto"/>
              <w:ind w:left="90"/>
              <w:contextualSpacing/>
              <w:rPr>
                <w:rFonts w:ascii="Avenir Next LT Pro" w:hAnsi="Avenir Next LT Pro"/>
                <w:sz w:val="20"/>
                <w:szCs w:val="20"/>
              </w:rPr>
            </w:pPr>
          </w:p>
          <w:p w14:paraId="6E34A33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p>
          <w:p w14:paraId="74655B60" w14:textId="77777777" w:rsidR="0041126D" w:rsidRPr="004D40EA" w:rsidRDefault="0041126D">
            <w:pPr>
              <w:spacing w:after="0" w:line="240" w:lineRule="auto"/>
              <w:ind w:left="90"/>
              <w:contextualSpacing/>
              <w:rPr>
                <w:rFonts w:ascii="Avenir Next LT Pro" w:hAnsi="Avenir Next LT Pro"/>
                <w:sz w:val="20"/>
                <w:szCs w:val="20"/>
              </w:rPr>
            </w:pPr>
          </w:p>
          <w:p w14:paraId="6F6F644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ED11**:  Number of individuals earning a post-secondary degree or technical certification</w:t>
            </w:r>
          </w:p>
          <w:p w14:paraId="1F6752D0" w14:textId="77777777" w:rsidR="0041126D" w:rsidRPr="004D40EA" w:rsidRDefault="0041126D">
            <w:pPr>
              <w:spacing w:after="0" w:line="240" w:lineRule="auto"/>
              <w:ind w:left="90"/>
              <w:contextualSpacing/>
              <w:rPr>
                <w:rFonts w:ascii="Avenir Next LT Pro" w:hAnsi="Avenir Next LT Pro"/>
                <w:sz w:val="20"/>
                <w:szCs w:val="20"/>
              </w:rPr>
            </w:pPr>
          </w:p>
          <w:p w14:paraId="59E0A6A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H9A**:  Number of individuals who report improved capacity for independent living</w:t>
            </w:r>
          </w:p>
          <w:p w14:paraId="1A65BA72" w14:textId="77777777" w:rsidR="0041126D" w:rsidRPr="004D40EA" w:rsidRDefault="0041126D">
            <w:pPr>
              <w:spacing w:after="0" w:line="240" w:lineRule="auto"/>
              <w:ind w:left="90"/>
              <w:contextualSpacing/>
              <w:rPr>
                <w:rFonts w:ascii="Avenir Next LT Pro" w:hAnsi="Avenir Next LT Pro"/>
                <w:sz w:val="20"/>
                <w:szCs w:val="20"/>
              </w:rPr>
            </w:pPr>
          </w:p>
          <w:p w14:paraId="4BAE6B3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H12**:  Number of individuals who report increased food security</w:t>
            </w:r>
          </w:p>
          <w:p w14:paraId="7D54524E" w14:textId="77777777" w:rsidR="0041126D" w:rsidRPr="004D40EA" w:rsidRDefault="0041126D">
            <w:pPr>
              <w:spacing w:after="0" w:line="240" w:lineRule="auto"/>
              <w:ind w:left="90"/>
              <w:contextualSpacing/>
              <w:rPr>
                <w:rFonts w:ascii="Avenir Next LT Pro" w:hAnsi="Avenir Next LT Pro"/>
                <w:sz w:val="20"/>
                <w:szCs w:val="20"/>
              </w:rPr>
            </w:pPr>
          </w:p>
          <w:p w14:paraId="26E66A0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707F6E54" w14:textId="77777777" w:rsidR="0041126D" w:rsidRPr="004D40EA" w:rsidRDefault="0041126D">
            <w:pPr>
              <w:spacing w:after="0" w:line="240" w:lineRule="auto"/>
              <w:ind w:left="90"/>
              <w:contextualSpacing/>
              <w:rPr>
                <w:rFonts w:ascii="Avenir Next LT Pro" w:hAnsi="Avenir Next LT Pro"/>
                <w:sz w:val="20"/>
                <w:szCs w:val="20"/>
              </w:rPr>
            </w:pPr>
          </w:p>
          <w:p w14:paraId="63B8852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H18**:  Number of individuals reporting a change in behavior or intent to change behavior to improve their health</w:t>
            </w:r>
          </w:p>
          <w:p w14:paraId="38D8EDBA" w14:textId="77777777" w:rsidR="0041126D" w:rsidRPr="004D40EA" w:rsidRDefault="0041126D">
            <w:pPr>
              <w:spacing w:after="0" w:line="240" w:lineRule="auto"/>
              <w:ind w:left="90"/>
              <w:contextualSpacing/>
              <w:rPr>
                <w:rFonts w:ascii="Avenir Next LT Pro" w:hAnsi="Avenir Next LT Pro"/>
                <w:sz w:val="20"/>
                <w:szCs w:val="20"/>
              </w:rPr>
            </w:pPr>
          </w:p>
          <w:p w14:paraId="7524DA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1D0EA7F" w14:textId="77777777" w:rsidR="0041126D" w:rsidRPr="004D40EA" w:rsidRDefault="0041126D">
            <w:pPr>
              <w:spacing w:after="0" w:line="240" w:lineRule="auto"/>
              <w:ind w:left="90"/>
              <w:contextualSpacing/>
              <w:rPr>
                <w:rFonts w:ascii="Avenir Next LT Pro" w:hAnsi="Avenir Next LT Pro"/>
                <w:sz w:val="20"/>
                <w:szCs w:val="20"/>
              </w:rPr>
            </w:pPr>
          </w:p>
          <w:p w14:paraId="66C0E1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711" w:type="dxa"/>
            <w:tcMar>
              <w:top w:w="0" w:type="dxa"/>
              <w:left w:w="108" w:type="dxa"/>
              <w:bottom w:w="0" w:type="dxa"/>
              <w:right w:w="108" w:type="dxa"/>
            </w:tcMar>
          </w:tcPr>
          <w:p w14:paraId="108984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p w14:paraId="06A966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2BC717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0FE80B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p w14:paraId="5418AD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51B1E5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30C95B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37D4F8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p w14:paraId="0047BBA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5AF7E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2F822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344DA6A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21FF6D0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05570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6AE903C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0841FD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669D36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Transportation </w:t>
            </w:r>
          </w:p>
          <w:p w14:paraId="3849331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6B3907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05E316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3DD06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0147E47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3E143BBD"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Opioid/Drug Intervention</w:t>
            </w:r>
          </w:p>
        </w:tc>
      </w:tr>
      <w:tr w:rsidR="0041126D" w:rsidRPr="004D40EA" w14:paraId="17A2997F" w14:textId="77777777" w:rsidTr="5779A35C">
        <w:trPr>
          <w:trHeight w:val="687"/>
        </w:trPr>
        <w:tc>
          <w:tcPr>
            <w:tcW w:w="1532" w:type="dxa"/>
            <w:tcMar>
              <w:top w:w="0" w:type="dxa"/>
              <w:left w:w="108" w:type="dxa"/>
              <w:bottom w:w="0" w:type="dxa"/>
              <w:right w:w="108" w:type="dxa"/>
            </w:tcMar>
          </w:tcPr>
          <w:p w14:paraId="474803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Access &amp; </w:t>
            </w:r>
            <w:proofErr w:type="gramStart"/>
            <w:r w:rsidRPr="004D40EA">
              <w:rPr>
                <w:rFonts w:ascii="Avenir Next LT Pro" w:hAnsi="Avenir Next LT Pro"/>
                <w:sz w:val="20"/>
                <w:szCs w:val="20"/>
              </w:rPr>
              <w:t>Attract</w:t>
            </w:r>
            <w:proofErr w:type="gramEnd"/>
            <w:r w:rsidRPr="004D40EA" w:rsidDel="00DD4C6D">
              <w:rPr>
                <w:rFonts w:ascii="Avenir Next LT Pro" w:hAnsi="Avenir Next LT Pro"/>
                <w:sz w:val="20"/>
                <w:szCs w:val="20"/>
              </w:rPr>
              <w:t xml:space="preserve"> </w:t>
            </w:r>
          </w:p>
        </w:tc>
        <w:tc>
          <w:tcPr>
            <w:tcW w:w="2281" w:type="dxa"/>
            <w:tcMar>
              <w:top w:w="0" w:type="dxa"/>
              <w:left w:w="108" w:type="dxa"/>
              <w:bottom w:w="0" w:type="dxa"/>
              <w:right w:w="108" w:type="dxa"/>
            </w:tcMar>
          </w:tcPr>
          <w:p w14:paraId="30BD66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63" w:type="dxa"/>
          </w:tcPr>
          <w:p w14:paraId="6D03F061" w14:textId="77777777" w:rsidR="0041126D" w:rsidRPr="004D40EA" w:rsidRDefault="0041126D">
            <w:pPr>
              <w:spacing w:after="0" w:line="240" w:lineRule="auto"/>
              <w:ind w:left="75"/>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11" w:type="dxa"/>
            <w:tcMar>
              <w:top w:w="0" w:type="dxa"/>
              <w:left w:w="108" w:type="dxa"/>
              <w:bottom w:w="0" w:type="dxa"/>
              <w:right w:w="108" w:type="dxa"/>
            </w:tcMar>
          </w:tcPr>
          <w:p w14:paraId="4B29A4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3E749A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B0114BB" w14:textId="77777777" w:rsidR="0041126D" w:rsidRPr="004D40EA" w:rsidRDefault="0041126D" w:rsidP="0041126D">
      <w:pPr>
        <w:spacing w:after="0" w:line="240" w:lineRule="auto"/>
        <w:contextualSpacing/>
        <w:rPr>
          <w:rFonts w:ascii="Avenir Next LT Pro" w:hAnsi="Avenir Next LT Pro"/>
          <w:sz w:val="20"/>
          <w:szCs w:val="20"/>
        </w:rPr>
      </w:pPr>
    </w:p>
    <w:p w14:paraId="23854950" w14:textId="622E538A"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**In the eGrants Performance Measure Module, these measures may appear with the letter “V” at the end when used in the Veterans and Military Families focus area. However, the instructions for these measures are the same regardless of the focus area in which they are used. </w:t>
      </w:r>
    </w:p>
    <w:p w14:paraId="4B5A53CF" w14:textId="77777777" w:rsidR="0041126D" w:rsidRPr="004D40EA" w:rsidRDefault="0041126D" w:rsidP="0041126D">
      <w:pPr>
        <w:spacing w:after="0" w:line="240" w:lineRule="auto"/>
        <w:contextualSpacing/>
        <w:rPr>
          <w:rStyle w:val="Strong1"/>
          <w:rFonts w:ascii="Avenir Next LT Pro" w:hAnsi="Avenir Next LT Pro"/>
          <w:szCs w:val="20"/>
        </w:rPr>
      </w:pPr>
    </w:p>
    <w:p w14:paraId="634E0C8E" w14:textId="77777777" w:rsidR="0041126D" w:rsidRPr="004D40EA" w:rsidRDefault="0041126D" w:rsidP="0041126D">
      <w:pPr>
        <w:spacing w:after="0" w:line="240" w:lineRule="auto"/>
        <w:contextualSpacing/>
        <w:rPr>
          <w:rStyle w:val="Strong1"/>
          <w:rFonts w:ascii="Avenir Next LT Pro" w:hAnsi="Avenir Next LT Pro"/>
          <w:szCs w:val="20"/>
        </w:rPr>
      </w:pPr>
    </w:p>
    <w:p w14:paraId="4444940E" w14:textId="77777777" w:rsidR="0041126D" w:rsidRPr="004D40EA" w:rsidRDefault="0041126D" w:rsidP="0041126D">
      <w:pPr>
        <w:pStyle w:val="Style2"/>
        <w:rPr>
          <w:rFonts w:ascii="Avenir Next LT Pro" w:eastAsia="ヒラギノ角ゴ Pro W3" w:hAnsi="Avenir Next LT Pro"/>
        </w:rPr>
      </w:pPr>
      <w:r w:rsidRPr="004D40EA">
        <w:rPr>
          <w:rStyle w:val="Strong1"/>
          <w:rFonts w:ascii="Avenir Next LT Pro" w:hAnsi="Avenir Next LT Pro"/>
        </w:rPr>
        <w:br w:type="page"/>
      </w:r>
      <w:bookmarkStart w:id="7" w:name="_Toc518376070"/>
      <w:bookmarkStart w:id="8" w:name="_Toc518377550"/>
      <w:bookmarkStart w:id="9" w:name="_Toc371442621"/>
      <w:bookmarkStart w:id="10" w:name="_Toc371442729"/>
      <w:r w:rsidRPr="004D40EA">
        <w:rPr>
          <w:rStyle w:val="Strong1"/>
          <w:rFonts w:ascii="Avenir Next LT Pro" w:hAnsi="Avenir Next LT Pro"/>
        </w:rPr>
        <w:lastRenderedPageBreak/>
        <w:t>CAPACITY BUILDING</w:t>
      </w:r>
      <w:bookmarkEnd w:id="7"/>
      <w:bookmarkEnd w:id="8"/>
      <w:r w:rsidRPr="004D40EA">
        <w:rPr>
          <w:rStyle w:val="Strong1"/>
          <w:rFonts w:ascii="Avenir Next LT Pro" w:hAnsi="Avenir Next LT Pro"/>
        </w:rPr>
        <w:br/>
      </w:r>
    </w:p>
    <w:p w14:paraId="15F0A937"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4C986B70"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Capacity Building performance measures if the measures reflect significant program activities aligned with the applicant’s core theory of change.  </w:t>
      </w:r>
    </w:p>
    <w:p w14:paraId="0E5E73F8"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p>
    <w:p w14:paraId="5893A11F"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meet the definition of capacity building specified in the “key terms” definition under G3-3.4.</w:t>
      </w:r>
    </w:p>
    <w:p w14:paraId="32990CA9"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Programs are not permitted to create applicant-determined outputs in the Capacity Building focus area.</w:t>
      </w:r>
    </w:p>
    <w:p w14:paraId="3487868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35C28279" w14:textId="77777777">
        <w:trPr>
          <w:trHeight w:val="269"/>
        </w:trPr>
        <w:tc>
          <w:tcPr>
            <w:tcW w:w="1818" w:type="dxa"/>
          </w:tcPr>
          <w:p w14:paraId="4E411920" w14:textId="77777777" w:rsidR="0041126D" w:rsidRPr="004D40EA" w:rsidRDefault="0041126D">
            <w:pPr>
              <w:spacing w:after="0" w:line="240" w:lineRule="auto"/>
              <w:contextualSpacing/>
              <w:rPr>
                <w:rFonts w:ascii="Avenir Next LT Pro" w:eastAsia="ヒラギノ角ゴ Pro W3" w:hAnsi="Avenir Next LT Pro"/>
                <w:color w:val="FF0000"/>
                <w:sz w:val="20"/>
                <w:szCs w:val="20"/>
              </w:rPr>
            </w:pPr>
            <w:r w:rsidRPr="004D40EA">
              <w:rPr>
                <w:rFonts w:ascii="Avenir Next LT Pro" w:eastAsia="ヒラギノ角ゴ Pro W3" w:hAnsi="Avenir Next LT Pro"/>
                <w:color w:val="000000"/>
                <w:sz w:val="20"/>
                <w:szCs w:val="20"/>
              </w:rPr>
              <w:br w:type="page"/>
            </w:r>
            <w:r w:rsidRPr="004D40EA">
              <w:rPr>
                <w:rFonts w:ascii="Avenir Next LT Pro" w:eastAsia="ヒラギノ角ゴ Pro W3" w:hAnsi="Avenir Next LT Pro"/>
                <w:b/>
                <w:color w:val="000000"/>
                <w:sz w:val="20"/>
                <w:szCs w:val="20"/>
              </w:rPr>
              <w:t>G3-3.4 (output)</w:t>
            </w:r>
          </w:p>
        </w:tc>
        <w:tc>
          <w:tcPr>
            <w:tcW w:w="7556" w:type="dxa"/>
          </w:tcPr>
          <w:p w14:paraId="326DB4E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received capacity building services</w:t>
            </w:r>
          </w:p>
        </w:tc>
      </w:tr>
      <w:tr w:rsidR="0041126D" w:rsidRPr="004D40EA" w14:paraId="2833B91A" w14:textId="77777777">
        <w:trPr>
          <w:trHeight w:val="278"/>
        </w:trPr>
        <w:tc>
          <w:tcPr>
            <w:tcW w:w="1818" w:type="dxa"/>
          </w:tcPr>
          <w:p w14:paraId="0214336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56" w:type="dxa"/>
          </w:tcPr>
          <w:p w14:paraId="5C04A8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Organization:  </w:t>
            </w:r>
            <w:r w:rsidRPr="004D40EA">
              <w:rPr>
                <w:rFonts w:ascii="Avenir Next LT Pro" w:eastAsia="ヒラギノ角ゴ Pro W3" w:hAnsi="Avenir Next LT Pro"/>
                <w:color w:val="000000"/>
                <w:sz w:val="20"/>
                <w:szCs w:val="20"/>
              </w:rPr>
              <w:t>nonprofit or state/local/tribal government entity</w:t>
            </w:r>
          </w:p>
          <w:p w14:paraId="39D129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Capacity building services</w:t>
            </w:r>
            <w:r w:rsidRPr="004D40EA">
              <w:rPr>
                <w:rFonts w:ascii="Avenir Next LT Pro" w:eastAsia="ヒラギノ角ゴ Pro W3" w:hAnsi="Avenir Next LT Pro"/>
                <w:color w:val="000000"/>
                <w:sz w:val="20"/>
                <w:szCs w:val="20"/>
              </w:rPr>
              <w:t xml:space="preserve">:  a set of activities that expand the </w:t>
            </w:r>
            <w:r w:rsidRPr="004D40EA">
              <w:rPr>
                <w:rFonts w:ascii="Avenir Next LT Pro" w:eastAsia="ヒラギノ角ゴ Pro W3" w:hAnsi="Avenir Next LT Pro"/>
                <w:iCs/>
                <w:color w:val="000000"/>
                <w:sz w:val="20"/>
                <w:szCs w:val="20"/>
              </w:rPr>
              <w:t>scale, reach, efficiency, or effectiveness of programs and organizations. Capacity building activities may also</w:t>
            </w:r>
            <w:r w:rsidRPr="004D40EA">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iCs/>
                <w:color w:val="000000"/>
                <w:sz w:val="20"/>
                <w:szCs w:val="20"/>
              </w:rPr>
              <w:t xml:space="preserve">leverage resources </w:t>
            </w:r>
            <w:r w:rsidRPr="004D40EA">
              <w:rPr>
                <w:rFonts w:ascii="Avenir Next LT Pro" w:eastAsia="ヒラギノ角ゴ Pro W3" w:hAnsi="Avenir Next LT Pro"/>
                <w:color w:val="000000"/>
                <w:sz w:val="20"/>
                <w:szCs w:val="20"/>
              </w:rPr>
              <w:t xml:space="preserve">(e.g., funding, volunteers, in-kind support, or partnerships) </w:t>
            </w:r>
            <w:r w:rsidRPr="004D40EA">
              <w:rPr>
                <w:rFonts w:ascii="Avenir Next LT Pro" w:eastAsia="ヒラギノ角ゴ Pro W3" w:hAnsi="Avenir Next LT Pro"/>
                <w:iCs/>
                <w:color w:val="000000"/>
                <w:sz w:val="20"/>
                <w:szCs w:val="20"/>
              </w:rPr>
              <w:t>for</w:t>
            </w:r>
            <w:r w:rsidRPr="004D40EA">
              <w:rPr>
                <w:rFonts w:ascii="Avenir Next LT Pro" w:eastAsia="ヒラギノ角ゴ Pro W3" w:hAnsi="Avenir Next LT Pro"/>
                <w:color w:val="000000"/>
                <w:sz w:val="20"/>
                <w:szCs w:val="20"/>
              </w:rPr>
              <w:t xml:space="preserve"> programs and/or organizations. As a general rule, AmeriCorps considers capacity building activities to be </w:t>
            </w:r>
            <w:r w:rsidRPr="004D40EA">
              <w:rPr>
                <w:rFonts w:ascii="Avenir Next LT Pro" w:eastAsia="ヒラギノ角ゴ Pro W3" w:hAnsi="Avenir Next LT Pro"/>
                <w:i/>
                <w:color w:val="000000"/>
                <w:sz w:val="20"/>
                <w:szCs w:val="20"/>
              </w:rPr>
              <w:t>indirect services</w:t>
            </w:r>
            <w:r w:rsidRPr="004D40EA">
              <w:rPr>
                <w:rFonts w:ascii="Avenir Next LT Pro" w:eastAsia="ヒラギノ角ゴ Pro W3" w:hAnsi="Avenir Next LT Pro"/>
                <w:color w:val="000000"/>
                <w:sz w:val="20"/>
                <w:szCs w:val="20"/>
              </w:rPr>
              <w:t xml:space="preserve"> that enable organizations to provide more, better and sustained </w:t>
            </w:r>
            <w:r w:rsidRPr="004D40EA">
              <w:rPr>
                <w:rFonts w:ascii="Avenir Next LT Pro" w:eastAsia="ヒラギノ角ゴ Pro W3" w:hAnsi="Avenir Next LT Pro"/>
                <w:i/>
                <w:color w:val="000000"/>
                <w:sz w:val="20"/>
                <w:szCs w:val="20"/>
              </w:rPr>
              <w:t>direct services</w:t>
            </w:r>
            <w:r w:rsidRPr="004D40EA">
              <w:rPr>
                <w:rFonts w:ascii="Avenir Next LT Pro" w:eastAsia="ヒラギノ角ゴ Pro W3" w:hAnsi="Avenir Next LT Pro"/>
                <w:color w:val="000000"/>
                <w:sz w:val="20"/>
                <w:szCs w:val="20"/>
              </w:rPr>
              <w:t>.  Capacity building activities must (1) be intended to support or enhance the program delivery model, (2) respond to the organization’s goal of increasing, expanding or enhancing services in order to address pressing community needs, and (3) enable the organization to provide a sustained level of more or better direct services after the national service participant’s term of service has ended.</w:t>
            </w:r>
          </w:p>
        </w:tc>
      </w:tr>
      <w:tr w:rsidR="0041126D" w:rsidRPr="004D40EA" w14:paraId="651F33E1" w14:textId="77777777">
        <w:trPr>
          <w:trHeight w:val="444"/>
        </w:trPr>
        <w:tc>
          <w:tcPr>
            <w:tcW w:w="1818" w:type="dxa"/>
          </w:tcPr>
          <w:p w14:paraId="6350DABB"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FE4324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tcPr>
          <w:p w14:paraId="606A327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Tracking mechanism that ensures an unduplicated count of organizations who have received services</w:t>
            </w:r>
          </w:p>
        </w:tc>
      </w:tr>
    </w:tbl>
    <w:p w14:paraId="79163C7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1A997D"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ab/>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70FB4F2A" w14:textId="77777777">
        <w:trPr>
          <w:trHeight w:val="548"/>
        </w:trPr>
        <w:tc>
          <w:tcPr>
            <w:tcW w:w="1818" w:type="dxa"/>
          </w:tcPr>
          <w:p w14:paraId="487F3EC8" w14:textId="77777777" w:rsidR="0041126D" w:rsidRPr="004D40EA" w:rsidRDefault="0041126D">
            <w:pPr>
              <w:spacing w:after="0" w:line="240" w:lineRule="auto"/>
              <w:contextualSpacing/>
              <w:rPr>
                <w:rFonts w:ascii="Avenir Next LT Pro" w:eastAsia="ヒラギノ角ゴ Pro W3" w:hAnsi="Avenir Next LT Pro"/>
                <w:b/>
                <w:color w:val="FF0000"/>
                <w:sz w:val="20"/>
                <w:szCs w:val="20"/>
              </w:rPr>
            </w:pPr>
            <w:r w:rsidRPr="004D40EA">
              <w:rPr>
                <w:rFonts w:ascii="Avenir Next LT Pro" w:eastAsia="ヒラギノ角ゴ Pro W3" w:hAnsi="Avenir Next LT Pro"/>
                <w:b/>
                <w:color w:val="000000"/>
                <w:sz w:val="20"/>
                <w:szCs w:val="20"/>
              </w:rPr>
              <w:br w:type="page"/>
              <w:t>G3-3.10A (outcome)</w:t>
            </w:r>
          </w:p>
        </w:tc>
        <w:tc>
          <w:tcPr>
            <w:tcW w:w="7556" w:type="dxa"/>
          </w:tcPr>
          <w:p w14:paraId="549847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increased their effectiveness, efficiency, and/or program scale/reach</w:t>
            </w:r>
          </w:p>
        </w:tc>
      </w:tr>
      <w:tr w:rsidR="0041126D" w:rsidRPr="004D40EA" w14:paraId="52067D92" w14:textId="77777777">
        <w:trPr>
          <w:trHeight w:val="610"/>
        </w:trPr>
        <w:tc>
          <w:tcPr>
            <w:tcW w:w="1818" w:type="dxa"/>
          </w:tcPr>
          <w:p w14:paraId="7418E66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A4C103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556" w:type="dxa"/>
          </w:tcPr>
          <w:p w14:paraId="53166E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Organizations: </w:t>
            </w:r>
            <w:r w:rsidRPr="004D40EA">
              <w:rPr>
                <w:rFonts w:ascii="Avenir Next LT Pro" w:eastAsia="ヒラギノ角ゴ Pro W3" w:hAnsi="Avenir Next LT Pro"/>
                <w:color w:val="000000"/>
                <w:sz w:val="20"/>
                <w:szCs w:val="20"/>
              </w:rPr>
              <w:t>those counted in G3-3.4</w:t>
            </w:r>
          </w:p>
          <w:p w14:paraId="1E97868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Effectiveness</w:t>
            </w:r>
            <w:r w:rsidRPr="004D40EA">
              <w:rPr>
                <w:rFonts w:ascii="Avenir Next LT Pro" w:eastAsia="ヒラギノ角ゴ Pro W3" w:hAnsi="Avenir Next LT Pro"/>
                <w:color w:val="000000"/>
                <w:sz w:val="20"/>
                <w:szCs w:val="20"/>
              </w:rPr>
              <w:t>: Improved ability of the organization to achieve outcomes resulting in better success rates or better quality of outcomes achieved</w:t>
            </w:r>
          </w:p>
          <w:p w14:paraId="361163C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Efficiency</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b/>
                <w:color w:val="000000"/>
                <w:sz w:val="20"/>
                <w:szCs w:val="20"/>
              </w:rPr>
              <w:t xml:space="preserve"> </w:t>
            </w:r>
            <w:r w:rsidRPr="004D40EA">
              <w:rPr>
                <w:rFonts w:ascii="Avenir Next LT Pro" w:eastAsia="ヒラギノ角ゴ Pro W3" w:hAnsi="Avenir Next LT Pro"/>
                <w:color w:val="000000"/>
                <w:sz w:val="20"/>
                <w:szCs w:val="20"/>
              </w:rPr>
              <w:t>Improved outcomes with the same level of resources; improved or consistent quality of services with fewer resources</w:t>
            </w:r>
          </w:p>
          <w:p w14:paraId="542CB41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Scale/Reach</w:t>
            </w:r>
            <w:r w:rsidRPr="004D40EA">
              <w:rPr>
                <w:rFonts w:ascii="Avenir Next LT Pro" w:eastAsia="ヒラギノ角ゴ Pro W3" w:hAnsi="Avenir Next LT Pro"/>
                <w:color w:val="000000"/>
                <w:sz w:val="20"/>
                <w:szCs w:val="20"/>
              </w:rPr>
              <w:t xml:space="preserve">: The scope of a program’s services. Increased scale/reach can be measured by the number of new people served, new populations served, and/ or new or expanded services. </w:t>
            </w:r>
          </w:p>
        </w:tc>
      </w:tr>
      <w:tr w:rsidR="0041126D" w:rsidRPr="004D40EA" w14:paraId="283F3BF0" w14:textId="77777777">
        <w:trPr>
          <w:trHeight w:val="701"/>
        </w:trPr>
        <w:tc>
          <w:tcPr>
            <w:tcW w:w="1818" w:type="dxa"/>
          </w:tcPr>
          <w:p w14:paraId="5E0C3D5A"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169A947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tcPr>
          <w:p w14:paraId="433D78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Organizational assessment tool </w:t>
            </w:r>
            <w:r w:rsidRPr="004D40EA">
              <w:rPr>
                <w:rFonts w:ascii="Avenir Next LT Pro" w:eastAsia="ヒラギノ角ゴ Pro W3" w:hAnsi="Avenir Next LT Pro"/>
                <w:bCs/>
                <w:color w:val="000000"/>
                <w:sz w:val="20"/>
                <w:szCs w:val="20"/>
              </w:rPr>
              <w:t xml:space="preserve">or other instrument capable of measuring changes in effectiveness, efficiency, or scale/reach at the organization level.  When possible, pre-post assessments should be utilized. </w:t>
            </w:r>
          </w:p>
        </w:tc>
      </w:tr>
    </w:tbl>
    <w:p w14:paraId="1CEB29D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4B1448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F9D8DBC"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A5337B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8D60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BB0034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2A79AB1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8A50FC9" w14:textId="77777777" w:rsidR="0041126D" w:rsidRPr="004D40EA" w:rsidRDefault="0041126D" w:rsidP="0041126D">
      <w:pPr>
        <w:pStyle w:val="Style2"/>
        <w:rPr>
          <w:rStyle w:val="Strong1"/>
          <w:rFonts w:ascii="Avenir Next LT Pro" w:hAnsi="Avenir Next LT Pro"/>
        </w:rPr>
      </w:pPr>
      <w:bookmarkStart w:id="11" w:name="_Toc518377551"/>
      <w:r w:rsidRPr="004D40EA">
        <w:rPr>
          <w:rStyle w:val="Strong1"/>
          <w:rFonts w:ascii="Avenir Next LT Pro" w:hAnsi="Avenir Next LT Pro"/>
        </w:rPr>
        <w:lastRenderedPageBreak/>
        <w:t>DISASTER SERVICES</w:t>
      </w:r>
      <w:bookmarkEnd w:id="9"/>
      <w:bookmarkEnd w:id="10"/>
      <w:bookmarkEnd w:id="11"/>
    </w:p>
    <w:p w14:paraId="0F5B4C9E" w14:textId="77777777" w:rsidR="0041126D" w:rsidRPr="004D40EA" w:rsidRDefault="0041126D" w:rsidP="0041126D">
      <w:pPr>
        <w:spacing w:after="0" w:line="240" w:lineRule="auto"/>
        <w:contextualSpacing/>
        <w:rPr>
          <w:rStyle w:val="Strong1"/>
          <w:rFonts w:ascii="Avenir Next LT Pro" w:hAnsi="Avenir Next LT Pro"/>
          <w:szCs w:val="20"/>
        </w:rPr>
      </w:pPr>
    </w:p>
    <w:p w14:paraId="3C96FE86"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07AF2C3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Disaster Services performance measures if the measures reflect significant program activities aligned with the applicant’s core theory of change.  </w:t>
      </w:r>
    </w:p>
    <w:p w14:paraId="663F9257"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sz w:val="20"/>
          <w:szCs w:val="20"/>
        </w:rPr>
        <w:t>Any other grantees who provide disaster-related services during the program year should report on this activity in the Performance Data Elements in annual Progress Reports and provide a brief description of those services.</w:t>
      </w:r>
    </w:p>
    <w:p w14:paraId="2FDE107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 xml:space="preserve">To ensure unduplicated counts, beneficiaries reported under National Performance Measures in the Disaster Services focus area should not also be reported in disaster-related </w:t>
      </w:r>
      <w:r w:rsidRPr="004D40EA">
        <w:rPr>
          <w:rFonts w:ascii="Avenir Next LT Pro" w:hAnsi="Avenir Next LT Pro"/>
          <w:sz w:val="20"/>
          <w:szCs w:val="20"/>
        </w:rPr>
        <w:t>Performance Data Elements in annual Progress Reports</w:t>
      </w:r>
      <w:r w:rsidRPr="004D40EA">
        <w:rPr>
          <w:rStyle w:val="Strong1"/>
          <w:rFonts w:ascii="Avenir Next LT Pro" w:hAnsi="Avenir Next LT Pro"/>
          <w:b w:val="0"/>
          <w:szCs w:val="20"/>
        </w:rPr>
        <w:t>.</w:t>
      </w:r>
    </w:p>
    <w:p w14:paraId="752963B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Activities associated with these measures must be carried out by National Service Participants or by volunteers directly recruited and/or supported by National Service Participants.</w:t>
      </w:r>
    </w:p>
    <w:p w14:paraId="4FE25052"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r w:rsidRPr="004D40EA">
        <w:rPr>
          <w:rStyle w:val="Strong1"/>
          <w:rFonts w:ascii="Avenir Next LT Pro" w:hAnsi="Avenir Next LT Pro"/>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0388CDB" w14:textId="77777777">
        <w:trPr>
          <w:trHeight w:val="377"/>
        </w:trPr>
        <w:tc>
          <w:tcPr>
            <w:tcW w:w="1728" w:type="dxa"/>
          </w:tcPr>
          <w:bookmarkEnd w:id="0"/>
          <w:bookmarkEnd w:id="2"/>
          <w:p w14:paraId="38303D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D1A (output)</w:t>
            </w:r>
          </w:p>
        </w:tc>
        <w:tc>
          <w:tcPr>
            <w:tcW w:w="7646" w:type="dxa"/>
          </w:tcPr>
          <w:p w14:paraId="2DB4E8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served</w:t>
            </w:r>
          </w:p>
        </w:tc>
      </w:tr>
      <w:tr w:rsidR="0041126D" w:rsidRPr="004D40EA" w14:paraId="67D2F75B" w14:textId="77777777">
        <w:trPr>
          <w:trHeight w:val="651"/>
        </w:trPr>
        <w:tc>
          <w:tcPr>
            <w:tcW w:w="1728" w:type="dxa"/>
          </w:tcPr>
          <w:p w14:paraId="6480608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2C0348D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disaster preparedness, response, recovery, and/or mitigation</w:t>
            </w:r>
          </w:p>
          <w:p w14:paraId="150E7C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disaster-related goal in mind.  Cannot consist solely of mass dissemination of information such as email blasts, social media posts, or distributing pamphlets.</w:t>
            </w:r>
          </w:p>
        </w:tc>
      </w:tr>
      <w:tr w:rsidR="0041126D" w:rsidRPr="004D40EA" w14:paraId="1E7C2FD6" w14:textId="77777777">
        <w:trPr>
          <w:trHeight w:val="611"/>
        </w:trPr>
        <w:tc>
          <w:tcPr>
            <w:tcW w:w="1728" w:type="dxa"/>
          </w:tcPr>
          <w:p w14:paraId="2368427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1CA91F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34F910C"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1D43DA3F" w14:textId="77777777" w:rsidR="0041126D" w:rsidRPr="004D40EA" w:rsidRDefault="0041126D" w:rsidP="0041126D">
      <w:pPr>
        <w:spacing w:after="0" w:line="240" w:lineRule="auto"/>
        <w:contextualSpacing/>
        <w:rPr>
          <w:rFonts w:ascii="Avenir Next LT Pro" w:hAnsi="Avenir Next LT Pro"/>
          <w:sz w:val="20"/>
          <w:szCs w:val="20"/>
        </w:rPr>
      </w:pPr>
    </w:p>
    <w:p w14:paraId="4F186187"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5B3141C7" w14:textId="77777777">
        <w:trPr>
          <w:trHeight w:val="377"/>
        </w:trPr>
        <w:tc>
          <w:tcPr>
            <w:tcW w:w="1728" w:type="dxa"/>
          </w:tcPr>
          <w:p w14:paraId="75624C2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D5 (outcome)</w:t>
            </w:r>
          </w:p>
        </w:tc>
        <w:tc>
          <w:tcPr>
            <w:tcW w:w="7646" w:type="dxa"/>
          </w:tcPr>
          <w:p w14:paraId="5711A69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reporting increased disaster readiness</w:t>
            </w:r>
          </w:p>
        </w:tc>
      </w:tr>
      <w:tr w:rsidR="0041126D" w:rsidRPr="004D40EA" w14:paraId="2A774A51" w14:textId="77777777">
        <w:trPr>
          <w:trHeight w:val="606"/>
        </w:trPr>
        <w:tc>
          <w:tcPr>
            <w:tcW w:w="1728" w:type="dxa"/>
          </w:tcPr>
          <w:p w14:paraId="0BB555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4697F9F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D1A</w:t>
            </w:r>
          </w:p>
          <w:p w14:paraId="4F5C7EB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rPr>
              <w:t>Disaster readiness:</w:t>
            </w:r>
            <w:r w:rsidRPr="004D40EA">
              <w:rPr>
                <w:rFonts w:ascii="Avenir Next LT Pro" w:hAnsi="Avenir Next LT Pro"/>
                <w:sz w:val="20"/>
                <w:szCs w:val="20"/>
              </w:rPr>
              <w:t xml:space="preserve">  measures taken to prepare for and reduce the effects of future disasters</w:t>
            </w:r>
          </w:p>
        </w:tc>
      </w:tr>
      <w:tr w:rsidR="0041126D" w:rsidRPr="004D40EA" w14:paraId="0F5BC5AA" w14:textId="77777777">
        <w:trPr>
          <w:trHeight w:val="750"/>
        </w:trPr>
        <w:tc>
          <w:tcPr>
            <w:tcW w:w="1728" w:type="dxa"/>
          </w:tcPr>
          <w:p w14:paraId="3D6AD29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p>
          <w:p w14:paraId="461E3B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0D325BF"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disaster readiness at the individual beneficiary level.  When possible, pre-post assessments should be utilized.</w:t>
            </w:r>
          </w:p>
        </w:tc>
      </w:tr>
    </w:tbl>
    <w:p w14:paraId="4EBAC3DA" w14:textId="77777777" w:rsidR="0041126D" w:rsidRPr="004D40EA" w:rsidRDefault="0041126D" w:rsidP="0041126D">
      <w:pPr>
        <w:spacing w:after="0" w:line="240" w:lineRule="auto"/>
        <w:contextualSpacing/>
        <w:rPr>
          <w:rFonts w:ascii="Avenir Next LT Pro" w:hAnsi="Avenir Next LT Pro"/>
          <w:sz w:val="20"/>
          <w:szCs w:val="20"/>
        </w:rPr>
      </w:pPr>
    </w:p>
    <w:p w14:paraId="6DF86BC4"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FF2DA6E" w14:textId="77777777" w:rsidTr="2F724854">
        <w:trPr>
          <w:trHeight w:val="377"/>
        </w:trPr>
        <w:tc>
          <w:tcPr>
            <w:tcW w:w="1728" w:type="dxa"/>
          </w:tcPr>
          <w:p w14:paraId="6E4B3B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D6 (output)</w:t>
            </w:r>
          </w:p>
        </w:tc>
        <w:tc>
          <w:tcPr>
            <w:tcW w:w="7646" w:type="dxa"/>
          </w:tcPr>
          <w:p w14:paraId="574151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structures protected or restored</w:t>
            </w:r>
          </w:p>
        </w:tc>
      </w:tr>
      <w:tr w:rsidR="0041126D" w:rsidRPr="004D40EA" w14:paraId="0638A2F2" w14:textId="77777777" w:rsidTr="2F724854">
        <w:trPr>
          <w:trHeight w:val="651"/>
        </w:trPr>
        <w:tc>
          <w:tcPr>
            <w:tcW w:w="1728" w:type="dxa"/>
          </w:tcPr>
          <w:p w14:paraId="22B29C6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392711B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housing units or public facilities</w:t>
            </w:r>
          </w:p>
          <w:p w14:paraId="2AE00582" w14:textId="77777777" w:rsidR="0041126D" w:rsidRPr="004D40EA" w:rsidRDefault="0041126D" w:rsidP="2F724854">
            <w:pPr>
              <w:spacing w:after="0" w:line="240" w:lineRule="auto"/>
              <w:contextualSpacing/>
              <w:rPr>
                <w:rFonts w:ascii="Avenir Next LT Pro" w:hAnsi="Avenir Next LT Pro"/>
                <w:sz w:val="20"/>
                <w:szCs w:val="20"/>
              </w:rPr>
            </w:pPr>
            <w:r w:rsidRPr="2F724854">
              <w:rPr>
                <w:rFonts w:ascii="Avenir Next LT Pro" w:hAnsi="Avenir Next LT Pro"/>
                <w:b/>
                <w:bCs/>
                <w:sz w:val="20"/>
                <w:szCs w:val="20"/>
              </w:rPr>
              <w:t>Protected:</w:t>
            </w:r>
            <w:r w:rsidRPr="2F724854">
              <w:rPr>
                <w:rFonts w:ascii="Avenir Next LT Pro" w:hAnsi="Avenir Next LT Pro"/>
                <w:sz w:val="20"/>
                <w:szCs w:val="20"/>
              </w:rPr>
              <w:t xml:space="preserve"> prepared to more effectively withstand future disasters</w:t>
            </w:r>
          </w:p>
          <w:p w14:paraId="6F40062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Restored:</w:t>
            </w:r>
            <w:r w:rsidRPr="004D40EA">
              <w:rPr>
                <w:rFonts w:ascii="Avenir Next LT Pro" w:hAnsi="Avenir Next LT Pro"/>
                <w:sz w:val="20"/>
                <w:szCs w:val="20"/>
                <w:lang w:val="en"/>
              </w:rPr>
              <w:t xml:space="preserve"> repaired from damage sustained during a disaster</w:t>
            </w:r>
          </w:p>
        </w:tc>
      </w:tr>
      <w:tr w:rsidR="0041126D" w:rsidRPr="004D40EA" w14:paraId="2E16589A" w14:textId="77777777" w:rsidTr="2F724854">
        <w:trPr>
          <w:trHeight w:val="611"/>
        </w:trPr>
        <w:tc>
          <w:tcPr>
            <w:tcW w:w="1728" w:type="dxa"/>
          </w:tcPr>
          <w:p w14:paraId="45CFC7C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Measure/ </w:t>
            </w:r>
          </w:p>
          <w:p w14:paraId="4F30CB8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Collect Data</w:t>
            </w:r>
          </w:p>
        </w:tc>
        <w:tc>
          <w:tcPr>
            <w:tcW w:w="7646" w:type="dxa"/>
          </w:tcPr>
          <w:p w14:paraId="1DFDD66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structures that received services</w:t>
            </w:r>
          </w:p>
        </w:tc>
      </w:tr>
    </w:tbl>
    <w:p w14:paraId="2A51CE1C" w14:textId="77777777" w:rsidR="0041126D" w:rsidRPr="004D40EA" w:rsidRDefault="0041126D" w:rsidP="0041126D">
      <w:pPr>
        <w:spacing w:after="0" w:line="240" w:lineRule="auto"/>
        <w:contextualSpacing/>
        <w:rPr>
          <w:rFonts w:ascii="Avenir Next LT Pro" w:hAnsi="Avenir Next LT Pro"/>
          <w:sz w:val="20"/>
          <w:szCs w:val="20"/>
        </w:rPr>
      </w:pPr>
    </w:p>
    <w:p w14:paraId="1F5CCA90"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7624"/>
      </w:tblGrid>
      <w:tr w:rsidR="0041126D" w:rsidRPr="004D40EA" w14:paraId="67BAEE31" w14:textId="77777777">
        <w:trPr>
          <w:trHeight w:val="377"/>
        </w:trPr>
        <w:tc>
          <w:tcPr>
            <w:tcW w:w="1728" w:type="dxa"/>
          </w:tcPr>
          <w:p w14:paraId="45D3A73E" w14:textId="77777777" w:rsidR="0041126D" w:rsidRPr="004D40EA" w:rsidRDefault="0041126D">
            <w:pPr>
              <w:spacing w:line="240" w:lineRule="auto"/>
              <w:rPr>
                <w:rFonts w:ascii="Avenir Next LT Pro" w:hAnsi="Avenir Next LT Pro"/>
                <w:b/>
                <w:sz w:val="20"/>
                <w:szCs w:val="20"/>
              </w:rPr>
            </w:pPr>
            <w:r w:rsidRPr="004D40EA">
              <w:rPr>
                <w:rFonts w:ascii="Avenir Next LT Pro" w:hAnsi="Avenir Next LT Pro"/>
                <w:b/>
                <w:sz w:val="20"/>
                <w:szCs w:val="20"/>
              </w:rPr>
              <w:t>D7 (outcome)</w:t>
            </w:r>
          </w:p>
        </w:tc>
        <w:tc>
          <w:tcPr>
            <w:tcW w:w="7646" w:type="dxa"/>
          </w:tcPr>
          <w:p w14:paraId="63C3C073" w14:textId="77777777" w:rsidR="0041126D" w:rsidRPr="004D40EA" w:rsidRDefault="0041126D">
            <w:pPr>
              <w:spacing w:line="240" w:lineRule="auto"/>
              <w:rPr>
                <w:rFonts w:ascii="Avenir Next LT Pro" w:hAnsi="Avenir Next LT Pro"/>
                <w:sz w:val="20"/>
                <w:szCs w:val="20"/>
              </w:rPr>
            </w:pPr>
            <w:r w:rsidRPr="004D40EA">
              <w:rPr>
                <w:rFonts w:ascii="Avenir Next LT Pro" w:hAnsi="Avenir Next LT Pro"/>
                <w:sz w:val="20"/>
                <w:szCs w:val="20"/>
              </w:rPr>
              <w:t>Number of structures returned to regular use after a disaster</w:t>
            </w:r>
          </w:p>
        </w:tc>
      </w:tr>
      <w:tr w:rsidR="0041126D" w:rsidRPr="004D40EA" w14:paraId="4CA337B8" w14:textId="77777777">
        <w:trPr>
          <w:trHeight w:val="606"/>
        </w:trPr>
        <w:tc>
          <w:tcPr>
            <w:tcW w:w="1728" w:type="dxa"/>
          </w:tcPr>
          <w:p w14:paraId="0950B5A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78559810"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those reported in measure D6</w:t>
            </w:r>
          </w:p>
          <w:p w14:paraId="06B79A33"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lastRenderedPageBreak/>
              <w:t>Returned to regular use:</w:t>
            </w:r>
            <w:r w:rsidRPr="004D40EA">
              <w:rPr>
                <w:rFonts w:ascii="Avenir Next LT Pro" w:hAnsi="Avenir Next LT Pro"/>
                <w:sz w:val="20"/>
                <w:szCs w:val="20"/>
              </w:rPr>
              <w:t xml:space="preserve"> able to be used for the same or similar purpose for which they were used prior to the disaster </w:t>
            </w:r>
          </w:p>
        </w:tc>
      </w:tr>
      <w:tr w:rsidR="0041126D" w:rsidRPr="004D40EA" w14:paraId="6BBCDA7A" w14:textId="77777777">
        <w:trPr>
          <w:trHeight w:val="521"/>
        </w:trPr>
        <w:tc>
          <w:tcPr>
            <w:tcW w:w="1728" w:type="dxa"/>
          </w:tcPr>
          <w:p w14:paraId="2C9D799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lastRenderedPageBreak/>
              <w:t>How to Measure/</w:t>
            </w:r>
          </w:p>
          <w:p w14:paraId="304E7757"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Collect Data</w:t>
            </w:r>
          </w:p>
        </w:tc>
        <w:tc>
          <w:tcPr>
            <w:tcW w:w="7646" w:type="dxa"/>
          </w:tcPr>
          <w:p w14:paraId="4D450425"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sz w:val="20"/>
                <w:szCs w:val="20"/>
              </w:rPr>
              <w:t>Report from structure owner/manager/occupant, or other instrument capable of measuring changes in condition at the individual structure level.</w:t>
            </w:r>
          </w:p>
        </w:tc>
      </w:tr>
    </w:tbl>
    <w:p w14:paraId="47166EC2" w14:textId="77777777" w:rsidR="0041126D" w:rsidRPr="004D40EA" w:rsidRDefault="0041126D" w:rsidP="0041126D">
      <w:pPr>
        <w:pStyle w:val="Heading1"/>
        <w:spacing w:after="0" w:line="240" w:lineRule="auto"/>
        <w:contextualSpacing/>
        <w:rPr>
          <w:rStyle w:val="Strong1"/>
          <w:rFonts w:ascii="Avenir Next LT Pro" w:hAnsi="Avenir Next LT Pro"/>
          <w:szCs w:val="20"/>
        </w:rPr>
      </w:pPr>
      <w:r w:rsidRPr="004D40EA">
        <w:rPr>
          <w:rFonts w:ascii="Avenir Next LT Pro" w:hAnsi="Avenir Next LT Pro"/>
          <w:sz w:val="20"/>
          <w:szCs w:val="20"/>
        </w:rPr>
        <w:br w:type="page"/>
      </w:r>
      <w:bookmarkStart w:id="12" w:name="_Toc371442624"/>
      <w:bookmarkStart w:id="13" w:name="_Toc371442732"/>
      <w:bookmarkStart w:id="14" w:name="_Toc517776111"/>
      <w:bookmarkStart w:id="15" w:name="_Toc518376071"/>
      <w:bookmarkStart w:id="16" w:name="_Toc518377552"/>
      <w:r w:rsidRPr="004D40EA">
        <w:rPr>
          <w:rStyle w:val="Strong1"/>
          <w:rFonts w:ascii="Avenir Next LT Pro" w:hAnsi="Avenir Next LT Pro"/>
          <w:szCs w:val="20"/>
        </w:rPr>
        <w:lastRenderedPageBreak/>
        <w:t>ECONOMIC OPPORTUNITY</w:t>
      </w:r>
      <w:bookmarkEnd w:id="12"/>
      <w:bookmarkEnd w:id="13"/>
      <w:bookmarkEnd w:id="14"/>
      <w:bookmarkEnd w:id="15"/>
      <w:bookmarkEnd w:id="16"/>
      <w:r w:rsidRPr="004D40EA">
        <w:rPr>
          <w:rStyle w:val="Strong1"/>
          <w:rFonts w:ascii="Avenir Next LT Pro" w:hAnsi="Avenir Next LT Pro"/>
          <w:szCs w:val="20"/>
        </w:rPr>
        <w:br/>
      </w:r>
    </w:p>
    <w:p w14:paraId="42A3ECC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25C07CFE"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Economic Opportunity performance measures if the measures reflect significant program activities aligned with the applicant’s core theory of change.  </w:t>
      </w:r>
    </w:p>
    <w:p w14:paraId="6487F42A"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EAECB92"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22C4717D" w14:textId="77777777" w:rsidR="0041126D" w:rsidRPr="004D40EA" w:rsidRDefault="0041126D" w:rsidP="0041126D">
      <w:pPr>
        <w:spacing w:after="0" w:line="240" w:lineRule="auto"/>
        <w:contextualSpacing/>
        <w:rPr>
          <w:rFonts w:ascii="Avenir Next LT Pro" w:hAnsi="Avenir Next LT Pro"/>
          <w:sz w:val="20"/>
          <w:szCs w:val="20"/>
        </w:rPr>
      </w:pPr>
    </w:p>
    <w:p w14:paraId="65428CE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E071D0F" w14:textId="77777777">
        <w:trPr>
          <w:trHeight w:val="332"/>
        </w:trPr>
        <w:tc>
          <w:tcPr>
            <w:tcW w:w="1728" w:type="dxa"/>
          </w:tcPr>
          <w:p w14:paraId="452407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O1A (output)</w:t>
            </w:r>
          </w:p>
        </w:tc>
        <w:tc>
          <w:tcPr>
            <w:tcW w:w="7646" w:type="dxa"/>
          </w:tcPr>
          <w:p w14:paraId="124B4E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served</w:t>
            </w:r>
          </w:p>
        </w:tc>
      </w:tr>
      <w:tr w:rsidR="0041126D" w:rsidRPr="004D40EA" w14:paraId="64928D80" w14:textId="77777777">
        <w:trPr>
          <w:trHeight w:val="458"/>
        </w:trPr>
        <w:tc>
          <w:tcPr>
            <w:tcW w:w="1728" w:type="dxa"/>
          </w:tcPr>
          <w:p w14:paraId="21F2C0C9"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78DAAE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increasing economic opportunity</w:t>
            </w:r>
          </w:p>
          <w:p w14:paraId="7854B43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goal in mind related to economic opportunity.  Cannot consist solely of mass dissemination of information such as email blasts, social media posts, or distributing pamphlets.</w:t>
            </w:r>
          </w:p>
        </w:tc>
      </w:tr>
      <w:tr w:rsidR="0041126D" w:rsidRPr="004D40EA" w14:paraId="1C7C1073" w14:textId="77777777">
        <w:trPr>
          <w:trHeight w:val="602"/>
        </w:trPr>
        <w:tc>
          <w:tcPr>
            <w:tcW w:w="1728" w:type="dxa"/>
          </w:tcPr>
          <w:p w14:paraId="654B5A8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16DC4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5E8FBE6D" w14:textId="77777777" w:rsidR="0041126D" w:rsidRPr="004D40EA" w:rsidRDefault="0041126D" w:rsidP="0041126D">
      <w:pPr>
        <w:spacing w:after="0" w:line="240" w:lineRule="auto"/>
        <w:contextualSpacing/>
        <w:rPr>
          <w:rStyle w:val="Strong1"/>
          <w:rFonts w:ascii="Avenir Next LT Pro" w:hAnsi="Avenir Next LT Pro"/>
          <w:szCs w:val="20"/>
        </w:rPr>
      </w:pPr>
    </w:p>
    <w:p w14:paraId="4B8953B5" w14:textId="77777777" w:rsidR="0041126D" w:rsidRPr="004D40EA" w:rsidRDefault="0041126D" w:rsidP="0041126D">
      <w:pPr>
        <w:spacing w:after="0" w:line="240" w:lineRule="auto"/>
        <w:contextualSpacing/>
        <w:rPr>
          <w:rStyle w:val="Strong1"/>
          <w:rFonts w:ascii="Avenir Next LT Pro" w:hAnsi="Avenir Next LT Pro"/>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15958C9" w14:textId="77777777">
        <w:trPr>
          <w:trHeight w:val="386"/>
        </w:trPr>
        <w:tc>
          <w:tcPr>
            <w:tcW w:w="1728" w:type="dxa"/>
          </w:tcPr>
          <w:p w14:paraId="6E5D271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O4 (output)</w:t>
            </w:r>
          </w:p>
        </w:tc>
        <w:tc>
          <w:tcPr>
            <w:tcW w:w="7646" w:type="dxa"/>
          </w:tcPr>
          <w:p w14:paraId="06B24DA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housing units developed or repaired</w:t>
            </w:r>
          </w:p>
        </w:tc>
      </w:tr>
      <w:tr w:rsidR="0041126D" w:rsidRPr="004D40EA" w14:paraId="4ADFDA40" w14:textId="77777777">
        <w:trPr>
          <w:trHeight w:val="1628"/>
        </w:trPr>
        <w:tc>
          <w:tcPr>
            <w:tcW w:w="1728" w:type="dxa"/>
          </w:tcPr>
          <w:p w14:paraId="5BAFC01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0068AD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Housing unit:</w:t>
            </w:r>
            <w:r w:rsidRPr="004D40EA">
              <w:rPr>
                <w:rFonts w:ascii="Avenir Next LT Pro" w:hAnsi="Avenir Next LT Pro"/>
                <w:sz w:val="20"/>
                <w:szCs w:val="20"/>
              </w:rPr>
              <w:t xml:space="preserve">  A single-family home (including a mobile home if permanently placed), an apartment, or a room in a group home for people with disabilities</w:t>
            </w:r>
            <w:r w:rsidRPr="004D40EA">
              <w:rPr>
                <w:rFonts w:ascii="Avenir Next LT Pro" w:hAnsi="Avenir Next LT Pro"/>
                <w:sz w:val="20"/>
                <w:szCs w:val="20"/>
              </w:rPr>
              <w:br/>
            </w:r>
            <w:r w:rsidRPr="004D40EA">
              <w:rPr>
                <w:rFonts w:ascii="Avenir Next LT Pro" w:hAnsi="Avenir Next LT Pro"/>
                <w:b/>
                <w:sz w:val="20"/>
                <w:szCs w:val="20"/>
              </w:rPr>
              <w:t>Develop:</w:t>
            </w:r>
            <w:r w:rsidRPr="004D40EA">
              <w:rPr>
                <w:rFonts w:ascii="Avenir Next LT Pro" w:hAnsi="Avenir Next LT Pro"/>
                <w:sz w:val="20"/>
                <w:szCs w:val="20"/>
              </w:rPr>
              <w:t xml:space="preserve"> Build new or substantially rehabilitate housing units that were uninhabitable or soon would have become so.  Involves replacing major systems such as the roof, the plumbing, the wiring, the foundation, or elevating the unit as required by a flood plain standard.  </w:t>
            </w:r>
            <w:r w:rsidRPr="004D40EA">
              <w:rPr>
                <w:rFonts w:ascii="Avenir Next LT Pro" w:hAnsi="Avenir Next LT Pro"/>
                <w:sz w:val="20"/>
                <w:szCs w:val="20"/>
              </w:rPr>
              <w:br/>
            </w:r>
            <w:r w:rsidRPr="004D40EA">
              <w:rPr>
                <w:rFonts w:ascii="Avenir Next LT Pro" w:hAnsi="Avenir Next LT Pro"/>
                <w:b/>
                <w:sz w:val="20"/>
                <w:szCs w:val="20"/>
              </w:rPr>
              <w:t>Repair:</w:t>
            </w:r>
            <w:r w:rsidRPr="004D40EA">
              <w:rPr>
                <w:rFonts w:ascii="Avenir Next LT Pro" w:hAnsi="Avenir Next LT Pro"/>
                <w:sz w:val="20"/>
                <w:szCs w:val="20"/>
              </w:rPr>
              <w:t xml:space="preserve"> A more modest level of physical work on the unit, such as weatherizing, painting, replacing appliances and removing safety hazards</w:t>
            </w:r>
          </w:p>
        </w:tc>
      </w:tr>
      <w:tr w:rsidR="0041126D" w:rsidRPr="004D40EA" w14:paraId="645F32C6" w14:textId="77777777">
        <w:trPr>
          <w:trHeight w:val="620"/>
        </w:trPr>
        <w:tc>
          <w:tcPr>
            <w:tcW w:w="1728" w:type="dxa"/>
          </w:tcPr>
          <w:p w14:paraId="08C4A81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7B7220B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Tracking mechanism that ensures an unduplicated count of the number of housing units that have received AmeriCorps-supported development or repair services </w:t>
            </w:r>
          </w:p>
        </w:tc>
      </w:tr>
    </w:tbl>
    <w:p w14:paraId="332BCBA5" w14:textId="77777777" w:rsidR="0041126D" w:rsidRPr="004D40EA" w:rsidRDefault="0041126D" w:rsidP="0041126D">
      <w:pPr>
        <w:spacing w:after="0" w:line="240" w:lineRule="auto"/>
        <w:contextualSpacing/>
        <w:rPr>
          <w:rFonts w:ascii="Avenir Next LT Pro" w:hAnsi="Avenir Next LT Pro"/>
          <w:b/>
          <w:i/>
          <w:sz w:val="20"/>
          <w:szCs w:val="20"/>
        </w:rPr>
      </w:pPr>
    </w:p>
    <w:p w14:paraId="32303A21" w14:textId="77777777" w:rsidR="0041126D" w:rsidRPr="004D40EA" w:rsidRDefault="0041126D" w:rsidP="0041126D">
      <w:pPr>
        <w:pStyle w:val="FreeForm"/>
        <w:contextualSpacing/>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F9006CB" w14:textId="77777777">
        <w:trPr>
          <w:trHeight w:val="341"/>
        </w:trPr>
        <w:tc>
          <w:tcPr>
            <w:tcW w:w="1728" w:type="dxa"/>
          </w:tcPr>
          <w:p w14:paraId="7F32DE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O9 (outcome)</w:t>
            </w:r>
          </w:p>
        </w:tc>
        <w:tc>
          <w:tcPr>
            <w:tcW w:w="7646" w:type="dxa"/>
          </w:tcPr>
          <w:p w14:paraId="5D9D1D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with improved financial knowledge</w:t>
            </w:r>
          </w:p>
        </w:tc>
      </w:tr>
      <w:tr w:rsidR="0041126D" w:rsidRPr="004D40EA" w14:paraId="0A106AB5" w14:textId="77777777">
        <w:trPr>
          <w:trHeight w:val="971"/>
        </w:trPr>
        <w:tc>
          <w:tcPr>
            <w:tcW w:w="1728" w:type="dxa"/>
          </w:tcPr>
          <w:p w14:paraId="0361939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51677C1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Improved financial knowledge:</w:t>
            </w:r>
            <w:r w:rsidRPr="004D40EA">
              <w:rPr>
                <w:rFonts w:ascii="Avenir Next LT Pro" w:hAnsi="Avenir Next LT Pro"/>
                <w:sz w:val="20"/>
                <w:szCs w:val="20"/>
              </w:rPr>
              <w:t xml:space="preserve"> increased knowledge/understanding of financial literacy topics such as credit management, financial institutions including banks and credit unions, and utilization of savings plans</w:t>
            </w:r>
            <w:r w:rsidRPr="004D40EA" w:rsidDel="006104B9">
              <w:rPr>
                <w:rFonts w:ascii="Avenir Next LT Pro" w:hAnsi="Avenir Next LT Pro"/>
                <w:sz w:val="20"/>
                <w:szCs w:val="20"/>
              </w:rPr>
              <w:t xml:space="preserve"> </w:t>
            </w:r>
          </w:p>
        </w:tc>
      </w:tr>
      <w:tr w:rsidR="0041126D" w:rsidRPr="004D40EA" w14:paraId="053D66AA" w14:textId="77777777">
        <w:trPr>
          <w:trHeight w:val="566"/>
        </w:trPr>
        <w:tc>
          <w:tcPr>
            <w:tcW w:w="1728" w:type="dxa"/>
          </w:tcPr>
          <w:p w14:paraId="32DA47E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7B04E11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financial knowledge at the individual beneficiary level.  When possible, pre-post assessments should be utilized.</w:t>
            </w:r>
          </w:p>
        </w:tc>
      </w:tr>
    </w:tbl>
    <w:p w14:paraId="1F9839BD" w14:textId="77777777" w:rsidR="0041126D" w:rsidRPr="004D40EA" w:rsidRDefault="0041126D" w:rsidP="0041126D">
      <w:pPr>
        <w:spacing w:after="0" w:line="240" w:lineRule="auto"/>
        <w:contextualSpacing/>
        <w:rPr>
          <w:rFonts w:ascii="Avenir Next LT Pro" w:hAnsi="Avenir Next LT Pro"/>
        </w:rPr>
      </w:pPr>
    </w:p>
    <w:p w14:paraId="2DEBC10F"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C60FB4D" w14:textId="77777777">
        <w:trPr>
          <w:trHeight w:val="480"/>
        </w:trPr>
        <w:tc>
          <w:tcPr>
            <w:tcW w:w="1728" w:type="dxa"/>
          </w:tcPr>
          <w:p w14:paraId="485A152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O10 (outcome)</w:t>
            </w:r>
          </w:p>
        </w:tc>
        <w:tc>
          <w:tcPr>
            <w:tcW w:w="7646" w:type="dxa"/>
          </w:tcPr>
          <w:p w14:paraId="42EAFF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who secure employment</w:t>
            </w:r>
          </w:p>
        </w:tc>
      </w:tr>
      <w:tr w:rsidR="0041126D" w:rsidRPr="004D40EA" w14:paraId="487B0ADE" w14:textId="77777777">
        <w:trPr>
          <w:trHeight w:val="746"/>
        </w:trPr>
        <w:tc>
          <w:tcPr>
            <w:tcW w:w="1728" w:type="dxa"/>
          </w:tcPr>
          <w:p w14:paraId="3F95A16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tcPr>
          <w:p w14:paraId="6A5E8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Secure employment:</w:t>
            </w:r>
            <w:r w:rsidRPr="004D40EA">
              <w:rPr>
                <w:rFonts w:ascii="Avenir Next LT Pro" w:hAnsi="Avenir Next LT Pro"/>
                <w:sz w:val="20"/>
                <w:szCs w:val="20"/>
              </w:rPr>
              <w:t xml:space="preserve"> individual is hired in a new job as a result of AmeriCorps-supported services provided; individual may have been previously working in a different job or previously unemployed</w:t>
            </w:r>
          </w:p>
        </w:tc>
      </w:tr>
      <w:tr w:rsidR="0041126D" w:rsidRPr="004D40EA" w14:paraId="51EA9653" w14:textId="77777777">
        <w:trPr>
          <w:trHeight w:val="764"/>
        </w:trPr>
        <w:tc>
          <w:tcPr>
            <w:tcW w:w="1728" w:type="dxa"/>
          </w:tcPr>
          <w:p w14:paraId="335CB13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tcPr>
          <w:p w14:paraId="0606E77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Preferred method is a copy of acceptance letter from employer or copy of first pay stub.  Beneficiary self-reports may also be utilized.</w:t>
            </w:r>
          </w:p>
        </w:tc>
      </w:tr>
    </w:tbl>
    <w:p w14:paraId="2F95BCAE" w14:textId="77777777" w:rsidR="0041126D" w:rsidRPr="004D40EA" w:rsidRDefault="0041126D" w:rsidP="0041126D">
      <w:pPr>
        <w:spacing w:after="0" w:line="240" w:lineRule="auto"/>
        <w:contextualSpacing/>
        <w:rPr>
          <w:rFonts w:ascii="Avenir Next LT Pro" w:hAnsi="Avenir Next LT Pro"/>
          <w:highlight w:val="lightGray"/>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14AF44F2" w14:textId="77777777">
        <w:trPr>
          <w:trHeight w:val="278"/>
        </w:trPr>
        <w:tc>
          <w:tcPr>
            <w:tcW w:w="1728" w:type="dxa"/>
          </w:tcPr>
          <w:p w14:paraId="1E7420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highlight w:val="lightGray"/>
              </w:rPr>
              <w:br/>
            </w:r>
            <w:bookmarkStart w:id="17" w:name="O11"/>
            <w:r w:rsidRPr="004D40EA">
              <w:rPr>
                <w:rFonts w:ascii="Avenir Next LT Pro" w:hAnsi="Avenir Next LT Pro"/>
                <w:b/>
                <w:sz w:val="20"/>
                <w:szCs w:val="20"/>
              </w:rPr>
              <w:t>O11</w:t>
            </w:r>
            <w:bookmarkEnd w:id="17"/>
            <w:r w:rsidRPr="004D40EA">
              <w:rPr>
                <w:rFonts w:ascii="Avenir Next LT Pro" w:hAnsi="Avenir Next LT Pro"/>
                <w:b/>
                <w:sz w:val="20"/>
                <w:szCs w:val="20"/>
              </w:rPr>
              <w:t xml:space="preserve"> (outcome)</w:t>
            </w:r>
          </w:p>
        </w:tc>
        <w:tc>
          <w:tcPr>
            <w:tcW w:w="7632" w:type="dxa"/>
          </w:tcPr>
          <w:p w14:paraId="680EA3D0" w14:textId="77777777" w:rsidR="0041126D" w:rsidRPr="004D40EA" w:rsidRDefault="0041126D">
            <w:pPr>
              <w:spacing w:after="0" w:line="240" w:lineRule="auto"/>
              <w:contextualSpacing/>
              <w:rPr>
                <w:rFonts w:ascii="Avenir Next LT Pro" w:hAnsi="Avenir Next LT Pro"/>
                <w:color w:val="10100C"/>
                <w:sz w:val="20"/>
                <w:szCs w:val="20"/>
              </w:rPr>
            </w:pPr>
            <w:r w:rsidRPr="004D40EA">
              <w:rPr>
                <w:rFonts w:ascii="Avenir Next LT Pro" w:eastAsia="ヒラギノ角ゴ Pro W3" w:hAnsi="Avenir Next LT Pro"/>
                <w:color w:val="000000"/>
                <w:sz w:val="20"/>
                <w:szCs w:val="20"/>
              </w:rPr>
              <w:t>Number of individuals transitioned into safe, healthy, affordable housing</w:t>
            </w:r>
          </w:p>
        </w:tc>
      </w:tr>
      <w:tr w:rsidR="0041126D" w:rsidRPr="004D40EA" w14:paraId="39AA98BA" w14:textId="77777777">
        <w:trPr>
          <w:trHeight w:val="1097"/>
        </w:trPr>
        <w:tc>
          <w:tcPr>
            <w:tcW w:w="1728" w:type="dxa"/>
          </w:tcPr>
          <w:p w14:paraId="22F4BE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22372C4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measure O1A</w:t>
            </w:r>
            <w:r w:rsidRPr="004D40EA">
              <w:rPr>
                <w:rFonts w:ascii="Avenir Next LT Pro" w:hAnsi="Avenir Next LT Pro"/>
                <w:sz w:val="20"/>
                <w:szCs w:val="20"/>
              </w:rPr>
              <w:t>, V1, V7A, or V8</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Safe, healthy, affordable housing:</w:t>
            </w:r>
            <w:r w:rsidRPr="004D40EA">
              <w:rPr>
                <w:rFonts w:ascii="Avenir Next LT Pro" w:eastAsia="ヒラギノ角ゴ Pro W3" w:hAnsi="Avenir Next LT Pro"/>
                <w:color w:val="000000"/>
                <w:sz w:val="20"/>
                <w:szCs w:val="20"/>
              </w:rPr>
              <w:t xml:space="preserve"> Grantee certifies that the housing is safe and healthy based on an inspection or other documentation. Grantee defines affordability and certifies that the housing is affordable to the individual(s) transitioned into the unit.</w:t>
            </w:r>
          </w:p>
        </w:tc>
      </w:tr>
      <w:tr w:rsidR="0041126D" w:rsidRPr="004D40EA" w14:paraId="56C42FE9" w14:textId="77777777">
        <w:trPr>
          <w:trHeight w:val="593"/>
        </w:trPr>
        <w:tc>
          <w:tcPr>
            <w:tcW w:w="1728" w:type="dxa"/>
          </w:tcPr>
          <w:p w14:paraId="60B1F7D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267E4FB2" w14:textId="77777777" w:rsidR="0041126D" w:rsidRPr="004D40EA" w:rsidDel="00BB0BDD"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a proof of residence such as a lease, mortgage, certificate of occupancy, or other verification from an external agency.  Beneficiary self-reports may also be utilized.</w:t>
            </w:r>
          </w:p>
        </w:tc>
      </w:tr>
    </w:tbl>
    <w:p w14:paraId="3F6EEC17" w14:textId="77777777" w:rsidR="0041126D" w:rsidRPr="004D40EA" w:rsidRDefault="0041126D" w:rsidP="0041126D">
      <w:pPr>
        <w:rPr>
          <w:rFonts w:ascii="Avenir Next LT Pro" w:hAnsi="Avenir Next LT Pro"/>
          <w:sz w:val="20"/>
          <w:szCs w:val="20"/>
        </w:rPr>
      </w:pPr>
      <w:r w:rsidRPr="004D40EA">
        <w:rPr>
          <w:rFonts w:ascii="Avenir Next LT Pro" w:hAnsi="Avenir Next LT Pro"/>
          <w:sz w:val="20"/>
          <w:szCs w:val="20"/>
          <w:highlight w:val="lightGray"/>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1DE78C9" w14:textId="77777777">
        <w:trPr>
          <w:trHeight w:val="314"/>
        </w:trPr>
        <w:tc>
          <w:tcPr>
            <w:tcW w:w="1728" w:type="dxa"/>
          </w:tcPr>
          <w:p w14:paraId="1D63FE2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O20 (outcome)</w:t>
            </w:r>
          </w:p>
        </w:tc>
        <w:tc>
          <w:tcPr>
            <w:tcW w:w="7646" w:type="dxa"/>
          </w:tcPr>
          <w:p w14:paraId="201A092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safe, healthy, affordable housing units made available</w:t>
            </w:r>
          </w:p>
        </w:tc>
      </w:tr>
      <w:tr w:rsidR="0041126D" w:rsidRPr="004D40EA" w14:paraId="60BE2DB3" w14:textId="77777777">
        <w:trPr>
          <w:trHeight w:val="1601"/>
        </w:trPr>
        <w:tc>
          <w:tcPr>
            <w:tcW w:w="1728" w:type="dxa"/>
          </w:tcPr>
          <w:p w14:paraId="6ECC796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r w:rsidRPr="004D40EA" w:rsidDel="00A768F4">
              <w:rPr>
                <w:rFonts w:ascii="Avenir Next LT Pro" w:hAnsi="Avenir Next LT Pro"/>
                <w:b/>
                <w:sz w:val="20"/>
                <w:szCs w:val="20"/>
              </w:rPr>
              <w:t xml:space="preserve"> </w:t>
            </w:r>
          </w:p>
        </w:tc>
        <w:tc>
          <w:tcPr>
            <w:tcW w:w="7646" w:type="dxa"/>
          </w:tcPr>
          <w:p w14:paraId="355A621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Housing unit:</w:t>
            </w:r>
            <w:r w:rsidRPr="004D40EA">
              <w:rPr>
                <w:rFonts w:ascii="Avenir Next LT Pro" w:hAnsi="Avenir Next LT Pro"/>
                <w:sz w:val="20"/>
                <w:szCs w:val="20"/>
              </w:rPr>
              <w:t xml:space="preserve">  those reported in measure O4</w:t>
            </w:r>
          </w:p>
          <w:p w14:paraId="67713D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Safe, healthy, affordable housing unit:</w:t>
            </w:r>
            <w:r w:rsidRPr="004D40EA">
              <w:rPr>
                <w:rFonts w:ascii="Avenir Next LT Pro" w:hAnsi="Avenir Next LT Pro"/>
                <w:sz w:val="20"/>
                <w:szCs w:val="20"/>
              </w:rPr>
              <w:t xml:space="preserve"> Grantee certifies that the housing unit is safe and healthy based on an inspection or other documentation. Grantee defines affordability and certifies that the housing unit is affordable.</w:t>
            </w:r>
          </w:p>
          <w:p w14:paraId="7E60C0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Made available:</w:t>
            </w:r>
            <w:r w:rsidRPr="004D40EA">
              <w:rPr>
                <w:rFonts w:ascii="Avenir Next LT Pro" w:hAnsi="Avenir Next LT Pro"/>
                <w:sz w:val="20"/>
                <w:szCs w:val="20"/>
              </w:rPr>
              <w:t xml:space="preserve">  This count indicates that the work has been completed to make the units </w:t>
            </w:r>
            <w:proofErr w:type="gramStart"/>
            <w:r w:rsidRPr="004D40EA">
              <w:rPr>
                <w:rFonts w:ascii="Avenir Next LT Pro" w:hAnsi="Avenir Next LT Pro"/>
                <w:sz w:val="20"/>
                <w:szCs w:val="20"/>
              </w:rPr>
              <w:t>available</w:t>
            </w:r>
            <w:proofErr w:type="gramEnd"/>
            <w:r w:rsidRPr="004D40EA">
              <w:rPr>
                <w:rFonts w:ascii="Avenir Next LT Pro" w:hAnsi="Avenir Next LT Pro"/>
                <w:sz w:val="20"/>
                <w:szCs w:val="20"/>
              </w:rPr>
              <w:t xml:space="preserve"> but they may or may not have been occupied. </w:t>
            </w:r>
          </w:p>
        </w:tc>
      </w:tr>
      <w:tr w:rsidR="0041126D" w:rsidRPr="004D40EA" w14:paraId="2BEE3378" w14:textId="77777777">
        <w:trPr>
          <w:trHeight w:val="602"/>
        </w:trPr>
        <w:tc>
          <w:tcPr>
            <w:tcW w:w="1728" w:type="dxa"/>
          </w:tcPr>
          <w:p w14:paraId="7AEC233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r w:rsidRPr="004D40EA" w:rsidDel="00A768F4">
              <w:rPr>
                <w:rFonts w:ascii="Avenir Next LT Pro" w:hAnsi="Avenir Next LT Pro"/>
                <w:b/>
                <w:sz w:val="20"/>
                <w:szCs w:val="20"/>
              </w:rPr>
              <w:t xml:space="preserve"> </w:t>
            </w:r>
          </w:p>
        </w:tc>
        <w:tc>
          <w:tcPr>
            <w:tcW w:w="7646" w:type="dxa"/>
          </w:tcPr>
          <w:p w14:paraId="5010B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color w:val="000000"/>
                <w:sz w:val="20"/>
                <w:szCs w:val="20"/>
              </w:rPr>
              <w:t xml:space="preserve">Tracking mechanism that ensures an unduplicated count of the number of safe, healthy, affordable housing units that have been made available </w:t>
            </w:r>
          </w:p>
        </w:tc>
      </w:tr>
    </w:tbl>
    <w:p w14:paraId="6C39582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B04C627" w14:textId="77777777">
        <w:trPr>
          <w:trHeight w:val="377"/>
        </w:trPr>
        <w:tc>
          <w:tcPr>
            <w:tcW w:w="1728" w:type="dxa"/>
          </w:tcPr>
          <w:p w14:paraId="6EF8075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O21 (outcome)</w:t>
            </w:r>
          </w:p>
        </w:tc>
        <w:tc>
          <w:tcPr>
            <w:tcW w:w="7632" w:type="dxa"/>
          </w:tcPr>
          <w:p w14:paraId="3C3F7F55"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Number of individuals with improved job readiness</w:t>
            </w:r>
          </w:p>
        </w:tc>
      </w:tr>
      <w:tr w:rsidR="0041126D" w:rsidRPr="004D40EA" w14:paraId="05349D2C" w14:textId="77777777">
        <w:trPr>
          <w:trHeight w:val="683"/>
        </w:trPr>
        <w:tc>
          <w:tcPr>
            <w:tcW w:w="1728" w:type="dxa"/>
          </w:tcPr>
          <w:p w14:paraId="3132C40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32" w:type="dxa"/>
          </w:tcPr>
          <w:p w14:paraId="0397E032"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b/>
              </w:rPr>
              <w:t>Individuals:</w:t>
            </w:r>
            <w:r w:rsidRPr="004D40EA">
              <w:rPr>
                <w:rFonts w:ascii="Avenir Next LT Pro" w:eastAsia="Times New Roman" w:hAnsi="Avenir Next LT Pro"/>
              </w:rPr>
              <w:t xml:space="preserve"> those reported in measure O1A</w:t>
            </w:r>
            <w:r w:rsidRPr="004D40EA">
              <w:rPr>
                <w:rFonts w:ascii="Avenir Next LT Pro" w:hAnsi="Avenir Next LT Pro"/>
              </w:rPr>
              <w:t>, V1, V7A, or V8</w:t>
            </w:r>
            <w:r w:rsidRPr="004D40EA">
              <w:rPr>
                <w:rFonts w:ascii="Avenir Next LT Pro" w:eastAsia="Times New Roman" w:hAnsi="Avenir Next LT Pro"/>
              </w:rPr>
              <w:br/>
            </w:r>
            <w:r w:rsidRPr="004D40EA">
              <w:rPr>
                <w:rFonts w:ascii="Avenir Next LT Pro" w:eastAsia="Times New Roman" w:hAnsi="Avenir Next LT Pro"/>
                <w:b/>
              </w:rPr>
              <w:t>Improved job readiness:</w:t>
            </w:r>
            <w:r w:rsidRPr="004D40EA">
              <w:rPr>
                <w:rFonts w:ascii="Avenir Next LT Pro" w:eastAsia="Times New Roman" w:hAnsi="Avenir Next LT Pro"/>
              </w:rPr>
              <w:t xml:space="preserve"> increased knowledge or skills related to seeking, obtaining, or successfully retaining a job.</w:t>
            </w:r>
            <w:r w:rsidRPr="004D40EA" w:rsidDel="006104B9">
              <w:rPr>
                <w:rFonts w:ascii="Avenir Next LT Pro" w:eastAsia="Times New Roman" w:hAnsi="Avenir Next LT Pro"/>
              </w:rPr>
              <w:t xml:space="preserve"> </w:t>
            </w:r>
          </w:p>
          <w:p w14:paraId="74809DDA" w14:textId="77777777" w:rsidR="0041126D" w:rsidRPr="004D40EA" w:rsidRDefault="0041126D">
            <w:pPr>
              <w:pStyle w:val="CommentText1"/>
              <w:contextualSpacing/>
              <w:rPr>
                <w:rFonts w:ascii="Avenir Next LT Pro" w:eastAsia="Times New Roman" w:hAnsi="Avenir Next LT Pro"/>
              </w:rPr>
            </w:pPr>
          </w:p>
        </w:tc>
      </w:tr>
      <w:tr w:rsidR="0041126D" w:rsidRPr="004D40EA" w14:paraId="0513BCA1" w14:textId="77777777">
        <w:trPr>
          <w:trHeight w:val="800"/>
        </w:trPr>
        <w:tc>
          <w:tcPr>
            <w:tcW w:w="1728" w:type="dxa"/>
          </w:tcPr>
          <w:p w14:paraId="4E7E66E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32" w:type="dxa"/>
          </w:tcPr>
          <w:p w14:paraId="623E24B9"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Survey, interview, observation, or other instrument capable of measuring changes in job readiness at the individual beneficiary level.  When possible, pre-post assessments should be utilized.</w:t>
            </w:r>
          </w:p>
        </w:tc>
      </w:tr>
    </w:tbl>
    <w:p w14:paraId="613823C9" w14:textId="77777777" w:rsidR="0041126D" w:rsidRPr="004D40EA" w:rsidRDefault="0041126D" w:rsidP="0041126D">
      <w:pPr>
        <w:pStyle w:val="Style2"/>
        <w:rPr>
          <w:rFonts w:ascii="Avenir Next LT Pro" w:eastAsia="ヒラギノ角ゴ Pro W3" w:hAnsi="Avenir Next LT Pro"/>
        </w:rPr>
      </w:pPr>
      <w:r w:rsidRPr="004D40EA">
        <w:rPr>
          <w:rFonts w:ascii="Avenir Next LT Pro" w:hAnsi="Avenir Next LT Pro"/>
        </w:rPr>
        <w:br w:type="page"/>
      </w:r>
      <w:bookmarkStart w:id="18" w:name="_Toc518377553"/>
      <w:bookmarkStart w:id="19" w:name="_Toc302477355"/>
      <w:r w:rsidRPr="004D40EA">
        <w:rPr>
          <w:rStyle w:val="Strong1"/>
          <w:rFonts w:ascii="Avenir Next LT Pro" w:hAnsi="Avenir Next LT Pro"/>
        </w:rPr>
        <w:lastRenderedPageBreak/>
        <w:t>EDUCATION</w:t>
      </w:r>
      <w:bookmarkEnd w:id="18"/>
      <w:r w:rsidRPr="004D40EA">
        <w:rPr>
          <w:rStyle w:val="Strong1"/>
          <w:rFonts w:ascii="Avenir Next LT Pro" w:hAnsi="Avenir Next LT Pro"/>
        </w:rPr>
        <w:br/>
      </w:r>
    </w:p>
    <w:p w14:paraId="41C1B1CF"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ECF193B"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Education performance measures if the measures reflect significant program activities aligned with the applicant’s core theory of change.  </w:t>
      </w:r>
    </w:p>
    <w:p w14:paraId="2A07CDC4"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086DB02C"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240778BF" w14:textId="77777777">
        <w:trPr>
          <w:trHeight w:val="305"/>
        </w:trPr>
        <w:tc>
          <w:tcPr>
            <w:tcW w:w="1728" w:type="dxa"/>
          </w:tcPr>
          <w:p w14:paraId="730C44E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ED1A (output)</w:t>
            </w:r>
          </w:p>
        </w:tc>
        <w:tc>
          <w:tcPr>
            <w:tcW w:w="7632" w:type="dxa"/>
          </w:tcPr>
          <w:p w14:paraId="38BC1F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58D94A3B" w14:textId="77777777">
        <w:trPr>
          <w:trHeight w:val="719"/>
        </w:trPr>
        <w:tc>
          <w:tcPr>
            <w:tcW w:w="1728" w:type="dxa"/>
          </w:tcPr>
          <w:p w14:paraId="4DB00E7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7627548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education; may include students enrolled in grades K-12, out-of-school youth, preschool age children, and/or individuals pursuing postsecondary education</w:t>
            </w:r>
          </w:p>
          <w:p w14:paraId="5DE2977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education-related goal in mind.  Cannot consist solely of mass dissemination of information such as email blasts, social media posts, or distributing pamphlets.</w:t>
            </w:r>
          </w:p>
        </w:tc>
      </w:tr>
      <w:tr w:rsidR="0041126D" w:rsidRPr="004D40EA" w14:paraId="1C6E7F03" w14:textId="77777777">
        <w:trPr>
          <w:trHeight w:val="458"/>
        </w:trPr>
        <w:tc>
          <w:tcPr>
            <w:tcW w:w="1728" w:type="dxa"/>
          </w:tcPr>
          <w:p w14:paraId="2301946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A6D42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tcPr>
          <w:p w14:paraId="31261132" w14:textId="77777777" w:rsidR="0041126D" w:rsidRPr="004D40EA" w:rsidRDefault="0041126D">
            <w:pPr>
              <w:tabs>
                <w:tab w:val="left" w:pos="1080"/>
              </w:tabs>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60B5361"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50"/>
      </w:tblGrid>
      <w:tr w:rsidR="0041126D" w:rsidRPr="004D40EA" w14:paraId="746EFDFE" w14:textId="77777777">
        <w:trPr>
          <w:trHeight w:val="269"/>
        </w:trPr>
        <w:tc>
          <w:tcPr>
            <w:tcW w:w="1728" w:type="dxa"/>
          </w:tcPr>
          <w:p w14:paraId="0B8AA06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ED5A (outcome)</w:t>
            </w:r>
          </w:p>
        </w:tc>
        <w:tc>
          <w:tcPr>
            <w:tcW w:w="7650" w:type="dxa"/>
          </w:tcPr>
          <w:p w14:paraId="60388C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performance</w:t>
            </w:r>
          </w:p>
        </w:tc>
      </w:tr>
      <w:tr w:rsidR="0041126D" w:rsidRPr="004D40EA" w14:paraId="2BA34603" w14:textId="77777777">
        <w:trPr>
          <w:trHeight w:val="483"/>
        </w:trPr>
        <w:tc>
          <w:tcPr>
            <w:tcW w:w="1728" w:type="dxa"/>
          </w:tcPr>
          <w:p w14:paraId="6112EA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2DB7C92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7EAC1B6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Improved academic performance:  </w:t>
            </w:r>
            <w:r w:rsidRPr="004D40EA">
              <w:rPr>
                <w:rFonts w:ascii="Avenir Next LT Pro" w:eastAsia="ヒラギノ角ゴ Pro W3" w:hAnsi="Avenir Next LT Pro"/>
                <w:color w:val="000000"/>
                <w:sz w:val="20"/>
                <w:szCs w:val="20"/>
              </w:rPr>
              <w:t xml:space="preserve">an improved demonstration of skill or knowledge in one or more academic subjects </w:t>
            </w:r>
          </w:p>
        </w:tc>
      </w:tr>
      <w:tr w:rsidR="0041126D" w:rsidRPr="004D40EA" w14:paraId="7CA25574" w14:textId="77777777">
        <w:trPr>
          <w:trHeight w:val="483"/>
        </w:trPr>
        <w:tc>
          <w:tcPr>
            <w:tcW w:w="1728" w:type="dxa"/>
          </w:tcPr>
          <w:p w14:paraId="31C198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B08895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18A95D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Standardized test, report card grade, or other instrument capable of measuring changes in academic performance at the individual beneficiary level.  When possible, pre-post assessments should be utilized.</w:t>
            </w:r>
          </w:p>
        </w:tc>
      </w:tr>
    </w:tbl>
    <w:p w14:paraId="7AB53DDF"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5A9212B" w14:textId="77777777">
        <w:trPr>
          <w:trHeight w:val="125"/>
        </w:trPr>
        <w:tc>
          <w:tcPr>
            <w:tcW w:w="1728" w:type="dxa"/>
          </w:tcPr>
          <w:p w14:paraId="1613823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ED6 (outcome)</w:t>
            </w:r>
          </w:p>
        </w:tc>
        <w:tc>
          <w:tcPr>
            <w:tcW w:w="7632" w:type="dxa"/>
          </w:tcPr>
          <w:p w14:paraId="0577F2C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increased school attendance</w:t>
            </w:r>
          </w:p>
        </w:tc>
      </w:tr>
      <w:tr w:rsidR="0041126D" w:rsidRPr="004D40EA" w14:paraId="0978ADC0" w14:textId="77777777">
        <w:trPr>
          <w:trHeight w:val="827"/>
        </w:trPr>
        <w:tc>
          <w:tcPr>
            <w:tcW w:w="1728" w:type="dxa"/>
          </w:tcPr>
          <w:p w14:paraId="246A51E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1DD4D8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Increased school attendance:</w:t>
            </w:r>
            <w:r w:rsidRPr="004D40EA">
              <w:rPr>
                <w:rFonts w:ascii="Avenir Next LT Pro" w:eastAsia="ヒラギノ角ゴ Pro W3" w:hAnsi="Avenir Next LT Pro"/>
                <w:color w:val="000000"/>
                <w:sz w:val="20"/>
                <w:szCs w:val="20"/>
              </w:rPr>
              <w:t xml:space="preserve">  higher rate of presence and/or on-time arrival at school as compared to a previous comparable time period</w:t>
            </w:r>
          </w:p>
        </w:tc>
      </w:tr>
      <w:tr w:rsidR="0041126D" w:rsidRPr="004D40EA" w14:paraId="7980A088" w14:textId="77777777">
        <w:trPr>
          <w:trHeight w:val="521"/>
        </w:trPr>
        <w:tc>
          <w:tcPr>
            <w:tcW w:w="1728" w:type="dxa"/>
          </w:tcPr>
          <w:p w14:paraId="75AE4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3B2AF18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attendance records or other instrument capable of measuring changes in attendance at the individual beneficiary level</w:t>
            </w:r>
          </w:p>
        </w:tc>
      </w:tr>
    </w:tbl>
    <w:p w14:paraId="569B6F1A"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796B418F" w14:textId="77777777">
        <w:trPr>
          <w:trHeight w:val="483"/>
        </w:trPr>
        <w:tc>
          <w:tcPr>
            <w:tcW w:w="1728" w:type="dxa"/>
          </w:tcPr>
          <w:p w14:paraId="24020F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ED7A (outcome)</w:t>
            </w:r>
          </w:p>
        </w:tc>
        <w:tc>
          <w:tcPr>
            <w:tcW w:w="7632" w:type="dxa"/>
          </w:tcPr>
          <w:p w14:paraId="7E1151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decreased disciplinary incidents (referrals, suspensions/expulsions, criminal or gang involvement)</w:t>
            </w:r>
          </w:p>
        </w:tc>
      </w:tr>
      <w:tr w:rsidR="0041126D" w:rsidRPr="004D40EA" w14:paraId="4DA15417" w14:textId="77777777">
        <w:trPr>
          <w:trHeight w:val="480"/>
        </w:trPr>
        <w:tc>
          <w:tcPr>
            <w:tcW w:w="1728" w:type="dxa"/>
          </w:tcPr>
          <w:p w14:paraId="22BF16F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17E1D4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Decreased disciplinary incidents:</w:t>
            </w:r>
            <w:r w:rsidRPr="004D40EA">
              <w:rPr>
                <w:rFonts w:ascii="Avenir Next LT Pro" w:eastAsia="ヒラギノ角ゴ Pro W3" w:hAnsi="Avenir Next LT Pro"/>
                <w:color w:val="000000"/>
                <w:sz w:val="20"/>
                <w:szCs w:val="20"/>
              </w:rPr>
              <w:t xml:space="preserve">  lower rate of incidents as compared to a previous comparable time period</w:t>
            </w:r>
          </w:p>
        </w:tc>
      </w:tr>
      <w:tr w:rsidR="0041126D" w:rsidRPr="004D40EA" w14:paraId="05AA0EB3" w14:textId="77777777">
        <w:trPr>
          <w:trHeight w:val="485"/>
        </w:trPr>
        <w:tc>
          <w:tcPr>
            <w:tcW w:w="1728" w:type="dxa"/>
          </w:tcPr>
          <w:p w14:paraId="4123D5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tcPr>
          <w:p w14:paraId="16BA57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records, police records, or other instrument capable of measuring changes in disciplinary incidents at the individual beneficiary level</w:t>
            </w:r>
          </w:p>
        </w:tc>
      </w:tr>
    </w:tbl>
    <w:p w14:paraId="6802AA5D" w14:textId="77777777" w:rsidR="0041126D" w:rsidRPr="004D40EA" w:rsidRDefault="0041126D" w:rsidP="0041126D">
      <w:pPr>
        <w:rPr>
          <w:rStyle w:val="Strong1"/>
          <w:rFonts w:ascii="Avenir Next LT Pro" w:hAnsi="Avenir Next LT Pro"/>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42"/>
      </w:tblGrid>
      <w:tr w:rsidR="0041126D" w:rsidRPr="004D40EA" w14:paraId="54F807A1" w14:textId="77777777">
        <w:trPr>
          <w:trHeight w:val="278"/>
        </w:trPr>
        <w:tc>
          <w:tcPr>
            <w:tcW w:w="1818" w:type="dxa"/>
          </w:tcPr>
          <w:p w14:paraId="494E9A9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ED9 (outcome)</w:t>
            </w:r>
          </w:p>
        </w:tc>
        <w:tc>
          <w:tcPr>
            <w:tcW w:w="7542" w:type="dxa"/>
          </w:tcPr>
          <w:p w14:paraId="678E30E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graduating from high school on time with a diploma</w:t>
            </w:r>
          </w:p>
        </w:tc>
      </w:tr>
      <w:tr w:rsidR="0041126D" w:rsidRPr="004D40EA" w14:paraId="5846C9C3" w14:textId="77777777">
        <w:trPr>
          <w:trHeight w:val="480"/>
        </w:trPr>
        <w:tc>
          <w:tcPr>
            <w:tcW w:w="1818" w:type="dxa"/>
          </w:tcPr>
          <w:p w14:paraId="4A499E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42" w:type="dxa"/>
          </w:tcPr>
          <w:p w14:paraId="0549EE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0040FD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On Time: </w:t>
            </w:r>
            <w:r w:rsidRPr="004D40EA">
              <w:rPr>
                <w:rFonts w:ascii="Avenir Next LT Pro" w:eastAsia="ヒラギノ角ゴ Pro W3" w:hAnsi="Avenir Next LT Pro"/>
                <w:color w:val="000000"/>
                <w:sz w:val="20"/>
                <w:szCs w:val="20"/>
              </w:rPr>
              <w:t>Within four years of starting 9th grade</w:t>
            </w:r>
          </w:p>
        </w:tc>
      </w:tr>
      <w:tr w:rsidR="0041126D" w:rsidRPr="004D40EA" w14:paraId="185063B3" w14:textId="77777777">
        <w:trPr>
          <w:trHeight w:val="557"/>
        </w:trPr>
        <w:tc>
          <w:tcPr>
            <w:tcW w:w="1818" w:type="dxa"/>
          </w:tcPr>
          <w:p w14:paraId="2EB71A2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1732A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542" w:type="dxa"/>
          </w:tcPr>
          <w:p w14:paraId="7A1F280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school/district graduation records for student beneficiaries.  Beneficiary self-reports may also be utilized.</w:t>
            </w:r>
          </w:p>
        </w:tc>
      </w:tr>
      <w:bookmarkEnd w:id="19"/>
    </w:tbl>
    <w:p w14:paraId="5F0D8FEF"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64258900" w14:textId="77777777">
        <w:trPr>
          <w:trHeight w:val="296"/>
        </w:trPr>
        <w:tc>
          <w:tcPr>
            <w:tcW w:w="1818" w:type="dxa"/>
          </w:tcPr>
          <w:p w14:paraId="2657AF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ED10 (outcome)</w:t>
            </w:r>
          </w:p>
        </w:tc>
        <w:tc>
          <w:tcPr>
            <w:tcW w:w="7650" w:type="dxa"/>
          </w:tcPr>
          <w:p w14:paraId="0CFD154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enrolling in post-secondary education or training</w:t>
            </w:r>
          </w:p>
        </w:tc>
      </w:tr>
      <w:tr w:rsidR="0041126D" w:rsidRPr="004D40EA" w14:paraId="41895CD2" w14:textId="77777777">
        <w:trPr>
          <w:trHeight w:val="720"/>
        </w:trPr>
        <w:tc>
          <w:tcPr>
            <w:tcW w:w="1818" w:type="dxa"/>
          </w:tcPr>
          <w:p w14:paraId="0F05A0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65F62C6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3012BFD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Post-secondary education or training</w:t>
            </w:r>
            <w:r w:rsidRPr="004D40EA">
              <w:rPr>
                <w:rFonts w:ascii="Avenir Next LT Pro" w:eastAsia="ヒラギノ角ゴ Pro W3" w:hAnsi="Avenir Next LT Pro"/>
                <w:color w:val="000000"/>
                <w:sz w:val="20"/>
                <w:szCs w:val="20"/>
              </w:rPr>
              <w:t xml:space="preserve"> may include two- or four-year college programs or occupational/vocational programs</w:t>
            </w:r>
          </w:p>
          <w:p w14:paraId="5A5673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Enrolling:</w:t>
            </w:r>
            <w:r w:rsidRPr="004D40EA">
              <w:rPr>
                <w:rFonts w:ascii="Avenir Next LT Pro" w:eastAsia="ヒラギノ角ゴ Pro W3" w:hAnsi="Avenir Next LT Pro"/>
                <w:color w:val="000000"/>
                <w:sz w:val="20"/>
                <w:szCs w:val="20"/>
              </w:rPr>
              <w:t xml:space="preserve"> means matriculating as a full-time or part-time student</w:t>
            </w:r>
          </w:p>
        </w:tc>
      </w:tr>
      <w:tr w:rsidR="0041126D" w:rsidRPr="004D40EA" w14:paraId="59C76862" w14:textId="77777777">
        <w:trPr>
          <w:trHeight w:val="485"/>
        </w:trPr>
        <w:tc>
          <w:tcPr>
            <w:tcW w:w="1818" w:type="dxa"/>
          </w:tcPr>
          <w:p w14:paraId="4DBAB1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3CBF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B821E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Preferred method is registration records that confirm student enrollments.  Beneficiary self-reports may also be utilized.  </w:t>
            </w:r>
          </w:p>
        </w:tc>
      </w:tr>
    </w:tbl>
    <w:p w14:paraId="51FC500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3D3426F5" w14:textId="77777777" w:rsidTr="5779A35C">
        <w:trPr>
          <w:trHeight w:val="330"/>
        </w:trPr>
        <w:tc>
          <w:tcPr>
            <w:tcW w:w="1818" w:type="dxa"/>
          </w:tcPr>
          <w:p w14:paraId="5796902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ED11 (outcome)</w:t>
            </w:r>
          </w:p>
        </w:tc>
        <w:tc>
          <w:tcPr>
            <w:tcW w:w="7650" w:type="dxa"/>
          </w:tcPr>
          <w:p w14:paraId="46260FAD" w14:textId="16CB8C03"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color w:val="000000" w:themeColor="text1"/>
                <w:sz w:val="20"/>
                <w:szCs w:val="20"/>
              </w:rPr>
              <w:t>Number of students earning a post-secondary degree</w:t>
            </w:r>
            <w:r w:rsidR="22F61FEF" w:rsidRPr="5779A35C">
              <w:rPr>
                <w:rFonts w:ascii="Avenir Next LT Pro" w:eastAsia="ヒラギノ角ゴ Pro W3" w:hAnsi="Avenir Next LT Pro"/>
                <w:color w:val="000000" w:themeColor="text1"/>
                <w:sz w:val="20"/>
                <w:szCs w:val="20"/>
              </w:rPr>
              <w:t xml:space="preserve"> or technical certification</w:t>
            </w:r>
          </w:p>
        </w:tc>
      </w:tr>
      <w:tr w:rsidR="0041126D" w:rsidRPr="004D40EA" w14:paraId="301AE523" w14:textId="77777777" w:rsidTr="5779A35C">
        <w:trPr>
          <w:trHeight w:val="1232"/>
        </w:trPr>
        <w:tc>
          <w:tcPr>
            <w:tcW w:w="1818" w:type="dxa"/>
          </w:tcPr>
          <w:p w14:paraId="14C746F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tcPr>
          <w:p w14:paraId="3BF95F6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those reported in ED1A</w:t>
            </w:r>
            <w:r w:rsidRPr="004D40EA">
              <w:rPr>
                <w:rFonts w:ascii="Avenir Next LT Pro" w:hAnsi="Avenir Next LT Pro"/>
                <w:sz w:val="20"/>
                <w:szCs w:val="20"/>
              </w:rPr>
              <w:t>, V1, V7A, or V8</w:t>
            </w:r>
          </w:p>
          <w:p w14:paraId="68CD8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 xml:space="preserve">Degree: </w:t>
            </w:r>
            <w:r w:rsidRPr="5779A35C">
              <w:rPr>
                <w:rFonts w:ascii="Avenir Next LT Pro" w:eastAsia="ヒラギノ角ゴ Pro W3" w:hAnsi="Avenir Next LT Pro"/>
                <w:color w:val="000000" w:themeColor="text1"/>
                <w:sz w:val="20"/>
                <w:szCs w:val="20"/>
              </w:rPr>
              <w:t>may include an associate degree from an accredited academic program or an occupational or vocational program; a bachelor’s degree (ex., BA, BS); a master’s degree (ex.: MA, MS, MEng, MEd, MSW); a professional school degree (ex.: MD, DDS, DVM); or a doctorate degree (ex.: PhD, EdD)</w:t>
            </w:r>
          </w:p>
        </w:tc>
      </w:tr>
      <w:tr w:rsidR="0041126D" w:rsidRPr="004D40EA" w14:paraId="100722A8" w14:textId="77777777" w:rsidTr="5779A35C">
        <w:trPr>
          <w:trHeight w:val="503"/>
        </w:trPr>
        <w:tc>
          <w:tcPr>
            <w:tcW w:w="1818" w:type="dxa"/>
          </w:tcPr>
          <w:p w14:paraId="12D5465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AF803D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37B75A1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registration records that confirm degree was earned. Beneficiary self-reports may also be utilized.</w:t>
            </w:r>
          </w:p>
        </w:tc>
      </w:tr>
      <w:tr w:rsidR="0041126D" w:rsidRPr="004D40EA" w14:paraId="00B4508D" w14:textId="77777777" w:rsidTr="5779A35C">
        <w:trPr>
          <w:trHeight w:val="512"/>
        </w:trPr>
        <w:tc>
          <w:tcPr>
            <w:tcW w:w="1818" w:type="dxa"/>
          </w:tcPr>
          <w:p w14:paraId="7CC950C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tcPr>
          <w:p w14:paraId="522C187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may only select this measure if they are able to collect data during a one-year grant period.  </w:t>
            </w:r>
          </w:p>
        </w:tc>
      </w:tr>
    </w:tbl>
    <w:p w14:paraId="2082DC3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32"/>
      </w:tblGrid>
      <w:tr w:rsidR="0041126D" w:rsidRPr="004D40EA" w14:paraId="2BFA604C" w14:textId="77777777">
        <w:trPr>
          <w:trHeight w:val="287"/>
        </w:trPr>
        <w:tc>
          <w:tcPr>
            <w:tcW w:w="1818" w:type="dxa"/>
          </w:tcPr>
          <w:p w14:paraId="5747A7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0" w:name="ED23"/>
            <w:r w:rsidRPr="004D40EA">
              <w:rPr>
                <w:rFonts w:ascii="Avenir Next LT Pro" w:eastAsia="ヒラギノ角ゴ Pro W3" w:hAnsi="Avenir Next LT Pro"/>
                <w:b/>
                <w:color w:val="000000"/>
                <w:sz w:val="20"/>
                <w:szCs w:val="20"/>
              </w:rPr>
              <w:t>ED23</w:t>
            </w:r>
            <w:bookmarkEnd w:id="20"/>
            <w:r w:rsidRPr="004D40EA">
              <w:rPr>
                <w:rFonts w:ascii="Avenir Next LT Pro" w:eastAsia="ヒラギノ角ゴ Pro W3" w:hAnsi="Avenir Next LT Pro"/>
                <w:b/>
                <w:color w:val="000000"/>
                <w:sz w:val="20"/>
                <w:szCs w:val="20"/>
              </w:rPr>
              <w:t>A (outcome)</w:t>
            </w:r>
          </w:p>
        </w:tc>
        <w:tc>
          <w:tcPr>
            <w:tcW w:w="7632" w:type="dxa"/>
          </w:tcPr>
          <w:p w14:paraId="72EA924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Number of children demonstrating gains in school readiness</w:t>
            </w:r>
          </w:p>
        </w:tc>
      </w:tr>
      <w:tr w:rsidR="0041126D" w:rsidRPr="004D40EA" w14:paraId="386E2BA4" w14:textId="77777777">
        <w:trPr>
          <w:trHeight w:val="1100"/>
        </w:trPr>
        <w:tc>
          <w:tcPr>
            <w:tcW w:w="1818" w:type="dxa"/>
          </w:tcPr>
          <w:p w14:paraId="3F4D079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tcPr>
          <w:p w14:paraId="09283C3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Children: </w:t>
            </w:r>
            <w:r w:rsidRPr="004D40EA">
              <w:rPr>
                <w:rFonts w:ascii="Avenir Next LT Pro" w:eastAsia="ヒラギノ角ゴ Pro W3" w:hAnsi="Avenir Next LT Pro"/>
                <w:color w:val="000000"/>
                <w:sz w:val="20"/>
                <w:szCs w:val="20"/>
              </w:rPr>
              <w:t>those reported in ED1A</w:t>
            </w:r>
          </w:p>
          <w:p w14:paraId="679ACB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School readiness:</w:t>
            </w:r>
            <w:r w:rsidRPr="004D40EA">
              <w:rPr>
                <w:rFonts w:ascii="Avenir Next LT Pro" w:eastAsia="ヒラギノ角ゴ Pro W3" w:hAnsi="Avenir Next LT Pro"/>
                <w:color w:val="000000"/>
                <w:sz w:val="20"/>
                <w:szCs w:val="20"/>
              </w:rPr>
              <w:t xml:space="preserve"> Preparation for Kindergarten which includes multiple indicators assessed across developmental and behavioral domains including but not limited to physical well-being, health and motor development, social and emotional development, approaches to learning, language development, cognitive development, and age-appropriate academic skills and behavior.</w:t>
            </w:r>
          </w:p>
        </w:tc>
      </w:tr>
      <w:tr w:rsidR="0041126D" w:rsidRPr="004D40EA" w14:paraId="0AF50891" w14:textId="77777777">
        <w:trPr>
          <w:trHeight w:val="791"/>
        </w:trPr>
        <w:tc>
          <w:tcPr>
            <w:tcW w:w="1818" w:type="dxa"/>
          </w:tcPr>
          <w:p w14:paraId="758CF6D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w:t>
            </w:r>
          </w:p>
          <w:p w14:paraId="3BE65B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Measure/</w:t>
            </w:r>
          </w:p>
          <w:p w14:paraId="0F5C2B8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tcPr>
          <w:p w14:paraId="5DFE970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Teacher observation, standardized test, or other instrument capable of measuring changes in school readiness at the individual beneficiary level.  When possible, pre-post assessments should be utilized.</w:t>
            </w:r>
          </w:p>
        </w:tc>
      </w:tr>
    </w:tbl>
    <w:p w14:paraId="75566369"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E30B0F4"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2C55A7E4" w14:textId="77777777" w:rsidTr="5779A35C">
        <w:trPr>
          <w:trHeight w:val="314"/>
        </w:trPr>
        <w:tc>
          <w:tcPr>
            <w:tcW w:w="1818" w:type="dxa"/>
          </w:tcPr>
          <w:p w14:paraId="7D01333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ED27C (outcome)</w:t>
            </w:r>
          </w:p>
        </w:tc>
        <w:tc>
          <w:tcPr>
            <w:tcW w:w="7650" w:type="dxa"/>
          </w:tcPr>
          <w:p w14:paraId="3216B6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engagement or social and emotional skills</w:t>
            </w:r>
          </w:p>
        </w:tc>
      </w:tr>
      <w:tr w:rsidR="0041126D" w:rsidRPr="004D40EA" w14:paraId="51758A7E" w14:textId="77777777" w:rsidTr="5779A35C">
        <w:trPr>
          <w:trHeight w:val="993"/>
        </w:trPr>
        <w:tc>
          <w:tcPr>
            <w:tcW w:w="1818" w:type="dxa"/>
          </w:tcPr>
          <w:p w14:paraId="6D16AD7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A0AA8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50" w:type="dxa"/>
          </w:tcPr>
          <w:p w14:paraId="25F0BA6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1F2B0BEF" w14:textId="608EE0AD"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Improved academic engagement or social and emotional skills</w:t>
            </w:r>
            <w:r w:rsidRPr="5779A35C">
              <w:rPr>
                <w:rFonts w:ascii="Avenir Next LT Pro" w:eastAsia="ヒラギノ角ゴ Pro W3" w:hAnsi="Avenir Next LT Pro"/>
                <w:color w:val="000000" w:themeColor="text1"/>
                <w:sz w:val="20"/>
                <w:szCs w:val="20"/>
              </w:rPr>
              <w:t xml:space="preserve">:  A positive change in student skills, attitude, and/or mindset that is likely to contribute to increased educational success.  May include increased interest in school, improved perspective on school </w:t>
            </w:r>
            <w:r w:rsidR="00A73EFB">
              <w:rPr>
                <w:rFonts w:ascii="Avenir Next LT Pro" w:eastAsia="ヒラギノ角ゴ Pro W3" w:hAnsi="Avenir Next LT Pro"/>
                <w:color w:val="000000" w:themeColor="text1"/>
                <w:sz w:val="20"/>
                <w:szCs w:val="20"/>
              </w:rPr>
              <w:t>atmosphere</w:t>
            </w:r>
            <w:r w:rsidRPr="5779A35C">
              <w:rPr>
                <w:rFonts w:ascii="Avenir Next LT Pro" w:eastAsia="ヒラギノ角ゴ Pro W3" w:hAnsi="Avenir Next LT Pro"/>
                <w:color w:val="000000" w:themeColor="text1"/>
                <w:sz w:val="20"/>
                <w:szCs w:val="20"/>
              </w:rPr>
              <w:t xml:space="preserve">, increased attachment to school and/or increased educational aspirations.   </w:t>
            </w:r>
          </w:p>
        </w:tc>
      </w:tr>
      <w:tr w:rsidR="0041126D" w:rsidRPr="004D40EA" w14:paraId="2D893EFC" w14:textId="77777777" w:rsidTr="5779A35C">
        <w:trPr>
          <w:trHeight w:val="773"/>
        </w:trPr>
        <w:tc>
          <w:tcPr>
            <w:tcW w:w="1818" w:type="dxa"/>
          </w:tcPr>
          <w:p w14:paraId="254EE6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EE332D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tcPr>
          <w:p w14:paraId="4D2207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observation, or other instrument capable of measuring changes in academic engagement or social and emotional skills at the individual beneficiary level.  When possible, pre-post assessments should be utilized.</w:t>
            </w:r>
          </w:p>
        </w:tc>
      </w:tr>
      <w:tr w:rsidR="0041126D" w:rsidRPr="004D40EA" w14:paraId="6D798E56" w14:textId="77777777" w:rsidTr="5779A35C">
        <w:trPr>
          <w:trHeight w:val="539"/>
        </w:trPr>
        <w:tc>
          <w:tcPr>
            <w:tcW w:w="1818" w:type="dxa"/>
          </w:tcPr>
          <w:p w14:paraId="054226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tcPr>
          <w:p w14:paraId="55C4799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Academic or behavioral improvements counted under ED5A, ED6, or ED7A cannot be counted under this measure</w:t>
            </w:r>
          </w:p>
        </w:tc>
      </w:tr>
    </w:tbl>
    <w:p w14:paraId="6B567C70" w14:textId="77777777" w:rsidR="0041126D" w:rsidRPr="004D40EA" w:rsidRDefault="0041126D" w:rsidP="0041126D">
      <w:pPr>
        <w:spacing w:after="0" w:line="240" w:lineRule="auto"/>
        <w:contextualSpacing/>
        <w:rPr>
          <w:rFonts w:ascii="Avenir Next LT Pro" w:hAnsi="Avenir Next LT Pro"/>
          <w:sz w:val="20"/>
          <w:szCs w:val="20"/>
        </w:rPr>
      </w:pPr>
    </w:p>
    <w:p w14:paraId="6FF0D6FC" w14:textId="77777777" w:rsidR="0041126D" w:rsidRPr="004D40EA" w:rsidRDefault="0041126D" w:rsidP="0041126D">
      <w:pPr>
        <w:spacing w:after="0" w:line="240" w:lineRule="auto"/>
        <w:contextualSpacing/>
        <w:rPr>
          <w:rFonts w:ascii="Avenir Next LT Pro" w:hAnsi="Avenir Next LT Pro"/>
          <w:sz w:val="20"/>
          <w:szCs w:val="20"/>
        </w:rPr>
      </w:pPr>
    </w:p>
    <w:p w14:paraId="05747CF5" w14:textId="77777777" w:rsidR="0041126D" w:rsidRPr="004D40EA" w:rsidRDefault="0041126D" w:rsidP="0041126D">
      <w:pPr>
        <w:spacing w:after="0" w:line="240" w:lineRule="auto"/>
        <w:contextualSpacing/>
        <w:rPr>
          <w:rFonts w:ascii="Avenir Next LT Pro" w:hAnsi="Avenir Next LT Pro"/>
          <w:sz w:val="20"/>
          <w:szCs w:val="20"/>
        </w:rPr>
      </w:pPr>
    </w:p>
    <w:p w14:paraId="60EA7CC6"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u w:val="single"/>
        </w:rPr>
      </w:pPr>
    </w:p>
    <w:p w14:paraId="1EC1937F" w14:textId="77777777" w:rsidR="0041126D" w:rsidRPr="004D40EA" w:rsidRDefault="0041126D" w:rsidP="0041126D">
      <w:pPr>
        <w:pStyle w:val="Style2"/>
        <w:rPr>
          <w:rStyle w:val="Strong1"/>
          <w:rFonts w:ascii="Avenir Next LT Pro" w:hAnsi="Avenir Next LT Pro"/>
        </w:rPr>
      </w:pPr>
      <w:r w:rsidRPr="004D40EA">
        <w:rPr>
          <w:rFonts w:ascii="Avenir Next LT Pro" w:eastAsia="ヒラギノ角ゴ Pro W3" w:hAnsi="Avenir Next LT Pro"/>
          <w:color w:val="000000"/>
          <w:u w:val="single"/>
        </w:rPr>
        <w:br w:type="page"/>
      </w:r>
      <w:bookmarkStart w:id="21" w:name="_Toc518377554"/>
      <w:r w:rsidRPr="004D40EA">
        <w:rPr>
          <w:rStyle w:val="Strong1"/>
          <w:rFonts w:ascii="Avenir Next LT Pro" w:hAnsi="Avenir Next LT Pro"/>
        </w:rPr>
        <w:lastRenderedPageBreak/>
        <w:t>ENVIRONMENTAL STEWARDSHIP</w:t>
      </w:r>
      <w:bookmarkEnd w:id="21"/>
    </w:p>
    <w:p w14:paraId="03442145" w14:textId="77777777" w:rsidR="0041126D" w:rsidRPr="004D40EA" w:rsidRDefault="0041126D" w:rsidP="0041126D">
      <w:pPr>
        <w:spacing w:after="0" w:line="240" w:lineRule="auto"/>
        <w:contextualSpacing/>
        <w:rPr>
          <w:rFonts w:ascii="Avenir Next LT Pro" w:hAnsi="Avenir Next LT Pro"/>
          <w:sz w:val="20"/>
          <w:szCs w:val="20"/>
        </w:rPr>
      </w:pPr>
    </w:p>
    <w:p w14:paraId="67BCF508" w14:textId="77777777" w:rsidR="0041126D" w:rsidRPr="004D40EA" w:rsidRDefault="0041126D" w:rsidP="0041126D">
      <w:pPr>
        <w:spacing w:after="0" w:line="240" w:lineRule="auto"/>
        <w:contextualSpacing/>
        <w:rPr>
          <w:rFonts w:ascii="Avenir Next LT Pro" w:hAnsi="Avenir Next LT Pro"/>
          <w:b/>
          <w:sz w:val="20"/>
          <w:szCs w:val="20"/>
        </w:rPr>
      </w:pPr>
      <w:bookmarkStart w:id="22" w:name="_Toc296440538"/>
      <w:bookmarkStart w:id="23" w:name="_Toc295997788"/>
      <w:bookmarkStart w:id="24" w:name="_Toc299043256"/>
      <w:bookmarkStart w:id="25" w:name="_Toc302476960"/>
      <w:r w:rsidRPr="004D40EA">
        <w:rPr>
          <w:rFonts w:ascii="Avenir Next LT Pro" w:hAnsi="Avenir Next LT Pro"/>
          <w:b/>
          <w:sz w:val="20"/>
          <w:szCs w:val="20"/>
        </w:rPr>
        <w:t xml:space="preserve">Focus Area Notes </w:t>
      </w:r>
    </w:p>
    <w:p w14:paraId="5711311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Environmental Stewardship performance measures if the measures reflect significant program activities aligned with the applicant’s core theory of change.  </w:t>
      </w:r>
    </w:p>
    <w:p w14:paraId="4996040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1B250F8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77D1947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AmeriCorps encourages grantees to perform service with the greatest impact versus providing minimal impact to the highest number of acres/miles/individuals</w:t>
      </w:r>
      <w:r w:rsidRPr="004D40EA">
        <w:rPr>
          <w:rFonts w:ascii="Avenir Next LT Pro" w:hAnsi="Avenir Next LT Pro"/>
          <w:sz w:val="20"/>
          <w:szCs w:val="20"/>
        </w:rPr>
        <w:br/>
      </w: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36A55FB" w14:textId="77777777">
        <w:trPr>
          <w:trHeight w:val="539"/>
        </w:trPr>
        <w:tc>
          <w:tcPr>
            <w:tcW w:w="1728" w:type="dxa"/>
          </w:tcPr>
          <w:bookmarkEnd w:id="22"/>
          <w:bookmarkEnd w:id="23"/>
          <w:bookmarkEnd w:id="24"/>
          <w:bookmarkEnd w:id="25"/>
          <w:p w14:paraId="3E39A50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 (output)</w:t>
            </w:r>
          </w:p>
          <w:p w14:paraId="447D951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p>
        </w:tc>
        <w:tc>
          <w:tcPr>
            <w:tcW w:w="7646" w:type="dxa"/>
          </w:tcPr>
          <w:p w14:paraId="20CDD4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weatherized or retrofitted to improve energy efficiency</w:t>
            </w:r>
          </w:p>
        </w:tc>
      </w:tr>
      <w:tr w:rsidR="0041126D" w:rsidRPr="004D40EA" w14:paraId="0C3EEAA4" w14:textId="77777777">
        <w:trPr>
          <w:trHeight w:val="2357"/>
        </w:trPr>
        <w:tc>
          <w:tcPr>
            <w:tcW w:w="1728" w:type="dxa"/>
          </w:tcPr>
          <w:p w14:paraId="717141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0FAB60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4D2511E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w:t>
            </w:r>
            <w:r w:rsidRPr="004D40EA">
              <w:rPr>
                <w:rFonts w:ascii="Avenir Next LT Pro" w:eastAsia="ヒラギノ角ゴ Pro W3" w:hAnsi="Avenir Next LT Pro"/>
                <w:color w:val="000000"/>
                <w:sz w:val="20"/>
                <w:szCs w:val="20"/>
              </w:rPr>
              <w:t xml:space="preserve"> a single-family home (including a mobile home if permanently placed), an apartment, or a room in a group home for people with disabilities</w:t>
            </w:r>
          </w:p>
          <w:p w14:paraId="222D17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Public structure: </w:t>
            </w:r>
            <w:r w:rsidRPr="004D40EA">
              <w:rPr>
                <w:rFonts w:ascii="Avenir Next LT Pro" w:eastAsia="ヒラギノ角ゴ Pro W3" w:hAnsi="Avenir Next LT Pro"/>
                <w:color w:val="000000"/>
                <w:sz w:val="20"/>
                <w:szCs w:val="20"/>
              </w:rPr>
              <w:t>Shelter, such as homeless shelter or emergency shelter operated by a nonprofit or government organization; government-owned building</w:t>
            </w:r>
          </w:p>
          <w:p w14:paraId="36F5D1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Weatherization:</w:t>
            </w:r>
            <w:r w:rsidRPr="004D40EA">
              <w:rPr>
                <w:rFonts w:ascii="Avenir Next LT Pro" w:eastAsia="ヒラギノ角ゴ Pro W3" w:hAnsi="Avenir Next LT Pro"/>
                <w:color w:val="000000"/>
                <w:sz w:val="20"/>
                <w:szCs w:val="20"/>
              </w:rPr>
              <w:t xml:space="preserve"> Modifying a building to reduce energy consumption and costs and optimize energy efficiency.  Whole-house weatherization includes the installation of modern energy-saving heating and cooling equipment and looks at how the house performs as a system.</w:t>
            </w:r>
          </w:p>
          <w:p w14:paraId="0F7811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Retrofit</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color w:val="3F456E"/>
                <w:sz w:val="20"/>
                <w:szCs w:val="20"/>
              </w:rPr>
              <w:t xml:space="preserve"> </w:t>
            </w:r>
            <w:r w:rsidRPr="004D40EA">
              <w:rPr>
                <w:rFonts w:ascii="Avenir Next LT Pro" w:eastAsia="ヒラギノ角ゴ Pro W3" w:hAnsi="Avenir Next LT Pro"/>
                <w:color w:val="000000"/>
                <w:sz w:val="20"/>
                <w:szCs w:val="20"/>
              </w:rPr>
              <w:t>An energy conservation measure applied to an existing building or the action of improving the thermal performance or maintenance of a building.</w:t>
            </w:r>
          </w:p>
        </w:tc>
      </w:tr>
      <w:tr w:rsidR="0041126D" w:rsidRPr="004D40EA" w14:paraId="746F6C48" w14:textId="77777777">
        <w:trPr>
          <w:trHeight w:val="539"/>
        </w:trPr>
        <w:tc>
          <w:tcPr>
            <w:tcW w:w="1728" w:type="dxa"/>
          </w:tcPr>
          <w:p w14:paraId="64BC3E7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4B621F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7A42EC4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units/structures that have received services</w:t>
            </w:r>
          </w:p>
        </w:tc>
      </w:tr>
    </w:tbl>
    <w:p w14:paraId="7199F62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AFF8632" w14:textId="77777777">
        <w:trPr>
          <w:trHeight w:val="476"/>
        </w:trPr>
        <w:tc>
          <w:tcPr>
            <w:tcW w:w="1728" w:type="dxa"/>
          </w:tcPr>
          <w:p w14:paraId="3A85E51B"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EN1.1 (outcome)</w:t>
            </w:r>
          </w:p>
          <w:p w14:paraId="3DB2FEAC"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p>
        </w:tc>
        <w:tc>
          <w:tcPr>
            <w:tcW w:w="7646" w:type="dxa"/>
          </w:tcPr>
          <w:p w14:paraId="16E0D95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with reduced energy consumption or reduced energy costs</w:t>
            </w:r>
          </w:p>
        </w:tc>
      </w:tr>
      <w:tr w:rsidR="0041126D" w:rsidRPr="004D40EA" w14:paraId="0BCA32A0" w14:textId="77777777">
        <w:trPr>
          <w:trHeight w:val="494"/>
        </w:trPr>
        <w:tc>
          <w:tcPr>
            <w:tcW w:w="1728" w:type="dxa"/>
          </w:tcPr>
          <w:p w14:paraId="47CC1BF5"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tcPr>
          <w:p w14:paraId="7C596024"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units or public structures:</w:t>
            </w:r>
            <w:r w:rsidRPr="004D40EA">
              <w:rPr>
                <w:rFonts w:ascii="Avenir Next LT Pro" w:eastAsia="ヒラギノ角ゴ Pro W3" w:hAnsi="Avenir Next LT Pro"/>
                <w:color w:val="000000"/>
                <w:sz w:val="20"/>
                <w:szCs w:val="20"/>
              </w:rPr>
              <w:t xml:space="preserve"> those reported in EN1</w:t>
            </w:r>
          </w:p>
        </w:tc>
      </w:tr>
      <w:tr w:rsidR="0041126D" w:rsidRPr="004D40EA" w14:paraId="437DFC01" w14:textId="77777777">
        <w:trPr>
          <w:trHeight w:val="692"/>
        </w:trPr>
        <w:tc>
          <w:tcPr>
            <w:tcW w:w="1728" w:type="dxa"/>
          </w:tcPr>
          <w:p w14:paraId="6704ED2E"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30BDB5F"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8EBA74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Utility bill/statement, computer modeling, resident survey, or other instrument capable of measuring changes in energy consumption or energy costs at the individual unit/structure level.  When possible, pre-post assessments should be utilized.</w:t>
            </w:r>
          </w:p>
        </w:tc>
      </w:tr>
    </w:tbl>
    <w:p w14:paraId="533993B2"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80ECE5" w14:textId="77777777">
        <w:trPr>
          <w:trHeight w:val="530"/>
        </w:trPr>
        <w:tc>
          <w:tcPr>
            <w:tcW w:w="1728" w:type="dxa"/>
          </w:tcPr>
          <w:p w14:paraId="62E3EBA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 (output)</w:t>
            </w:r>
          </w:p>
        </w:tc>
        <w:tc>
          <w:tcPr>
            <w:tcW w:w="7646" w:type="dxa"/>
          </w:tcPr>
          <w:p w14:paraId="5CD362C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receiving education or training in environmental stewardship and/or environmentally-conscious practices</w:t>
            </w:r>
          </w:p>
        </w:tc>
      </w:tr>
      <w:tr w:rsidR="0041126D" w:rsidRPr="004D40EA" w14:paraId="61E874C7" w14:textId="77777777">
        <w:trPr>
          <w:trHeight w:val="908"/>
        </w:trPr>
        <w:tc>
          <w:tcPr>
            <w:tcW w:w="1728" w:type="dxa"/>
          </w:tcPr>
          <w:p w14:paraId="510CD2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3E313C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697B08C4" w14:textId="77777777" w:rsidR="0041126D" w:rsidRPr="004D40EA" w:rsidRDefault="0041126D">
            <w:pPr>
              <w:spacing w:after="0" w:line="240" w:lineRule="auto"/>
              <w:contextualSpacing/>
              <w:rPr>
                <w:rFonts w:ascii="Avenir Next LT Pro" w:hAnsi="Avenir Next LT Pro"/>
                <w:sz w:val="20"/>
                <w:szCs w:val="20"/>
                <w:lang w:val="en"/>
              </w:rPr>
            </w:pPr>
            <w:r w:rsidRPr="004D40EA">
              <w:rPr>
                <w:rFonts w:ascii="Avenir Next LT Pro" w:eastAsia="ヒラギノ角ゴ Pro W3" w:hAnsi="Avenir Next LT Pro"/>
                <w:b/>
                <w:color w:val="000000"/>
                <w:sz w:val="20"/>
                <w:szCs w:val="20"/>
              </w:rPr>
              <w:t>Environmental Stewardship and/or environmentally conscious practices:</w:t>
            </w:r>
            <w:r w:rsidRPr="004D40EA">
              <w:rPr>
                <w:rFonts w:ascii="Avenir Next LT Pro" w:eastAsia="ヒラギノ角ゴ Pro W3" w:hAnsi="Avenir Next LT Pro"/>
                <w:color w:val="000000"/>
                <w:sz w:val="20"/>
                <w:szCs w:val="20"/>
              </w:rPr>
              <w:t xml:space="preserve"> </w:t>
            </w:r>
            <w:r w:rsidRPr="004D40EA">
              <w:rPr>
                <w:rFonts w:ascii="Avenir Next LT Pro" w:hAnsi="Avenir Next LT Pro"/>
                <w:sz w:val="20"/>
                <w:szCs w:val="20"/>
                <w:lang w:val="en"/>
              </w:rPr>
              <w:t xml:space="preserve">Organized efforts to teach about how natural environments function and, particularly, how human beings can manage their behavior and </w:t>
            </w:r>
            <w:r w:rsidRPr="004D40EA">
              <w:rPr>
                <w:rFonts w:ascii="Avenir Next LT Pro" w:hAnsi="Avenir Next LT Pro"/>
                <w:sz w:val="20"/>
                <w:szCs w:val="20"/>
              </w:rPr>
              <w:t>choices</w:t>
            </w:r>
            <w:r w:rsidRPr="004D40EA">
              <w:rPr>
                <w:rFonts w:ascii="Avenir Next LT Pro" w:hAnsi="Avenir Next LT Pro"/>
                <w:sz w:val="20"/>
                <w:szCs w:val="20"/>
                <w:lang w:val="en"/>
              </w:rPr>
              <w:t xml:space="preserve"> in order to </w:t>
            </w:r>
            <w:r w:rsidRPr="004D40EA">
              <w:rPr>
                <w:rFonts w:ascii="Avenir Next LT Pro" w:hAnsi="Avenir Next LT Pro"/>
                <w:sz w:val="20"/>
                <w:szCs w:val="20"/>
              </w:rPr>
              <w:t>live sustainably</w:t>
            </w:r>
            <w:r w:rsidRPr="004D40EA">
              <w:rPr>
                <w:rFonts w:ascii="Avenir Next LT Pro" w:hAnsi="Avenir Next LT Pro"/>
                <w:sz w:val="20"/>
                <w:szCs w:val="20"/>
                <w:lang w:val="en"/>
              </w:rPr>
              <w:t xml:space="preserve"> within those environments.</w:t>
            </w:r>
          </w:p>
          <w:p w14:paraId="300C460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lastRenderedPageBreak/>
              <w:t>Education or training:</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 goal in mind.  Cannot consist solely of mass dissemination of information such as email blasts, social media posts, or distributing pamphlets.</w:t>
            </w:r>
          </w:p>
        </w:tc>
      </w:tr>
      <w:tr w:rsidR="0041126D" w:rsidRPr="004D40EA" w14:paraId="36A9BBF9" w14:textId="77777777">
        <w:trPr>
          <w:trHeight w:val="539"/>
        </w:trPr>
        <w:tc>
          <w:tcPr>
            <w:tcW w:w="1728" w:type="dxa"/>
          </w:tcPr>
          <w:p w14:paraId="2DD4F3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D8E3CF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4C64DF7" w14:textId="77777777" w:rsidR="0041126D" w:rsidRPr="004D40EA" w:rsidDel="005C7E9F"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that have received services</w:t>
            </w:r>
          </w:p>
        </w:tc>
      </w:tr>
    </w:tbl>
    <w:p w14:paraId="289CFEA0"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08691E7" w14:textId="77777777">
        <w:trPr>
          <w:trHeight w:val="548"/>
        </w:trPr>
        <w:tc>
          <w:tcPr>
            <w:tcW w:w="1728" w:type="dxa"/>
          </w:tcPr>
          <w:p w14:paraId="29E0F85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EN3.1 (outcome)</w:t>
            </w:r>
          </w:p>
        </w:tc>
        <w:tc>
          <w:tcPr>
            <w:tcW w:w="7646" w:type="dxa"/>
          </w:tcPr>
          <w:p w14:paraId="36A3447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knowledge of environmental stewardship and/or environmentally-conscious practices</w:t>
            </w:r>
          </w:p>
        </w:tc>
      </w:tr>
      <w:tr w:rsidR="0041126D" w:rsidRPr="004D40EA" w14:paraId="19D53C05" w14:textId="77777777">
        <w:trPr>
          <w:trHeight w:val="503"/>
        </w:trPr>
        <w:tc>
          <w:tcPr>
            <w:tcW w:w="1728" w:type="dxa"/>
          </w:tcPr>
          <w:p w14:paraId="35980A6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4D325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535909A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EN3</w:t>
            </w:r>
          </w:p>
        </w:tc>
      </w:tr>
      <w:tr w:rsidR="0041126D" w:rsidRPr="004D40EA" w14:paraId="70354A63" w14:textId="77777777">
        <w:trPr>
          <w:trHeight w:val="467"/>
        </w:trPr>
        <w:tc>
          <w:tcPr>
            <w:tcW w:w="1728" w:type="dxa"/>
          </w:tcPr>
          <w:p w14:paraId="246C3D3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774758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79CE08D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test, or other instrument capable of measuring changes in knowledge at the individual beneficiary level.  When possible, pre-post assessments should be utilized.</w:t>
            </w:r>
          </w:p>
        </w:tc>
      </w:tr>
    </w:tbl>
    <w:p w14:paraId="4773999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F69039B" w14:textId="77777777">
        <w:trPr>
          <w:trHeight w:val="575"/>
        </w:trPr>
        <w:tc>
          <w:tcPr>
            <w:tcW w:w="1728" w:type="dxa"/>
          </w:tcPr>
          <w:p w14:paraId="38D8502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EN3.2 (outcome)</w:t>
            </w:r>
          </w:p>
        </w:tc>
        <w:tc>
          <w:tcPr>
            <w:tcW w:w="7646" w:type="dxa"/>
          </w:tcPr>
          <w:p w14:paraId="5D87021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reporting a change in behavior or the intent to change behavior to better protect the environment</w:t>
            </w:r>
          </w:p>
        </w:tc>
      </w:tr>
      <w:tr w:rsidR="0041126D" w:rsidRPr="004D40EA" w14:paraId="3EDCB576" w14:textId="77777777">
        <w:trPr>
          <w:trHeight w:val="539"/>
        </w:trPr>
        <w:tc>
          <w:tcPr>
            <w:tcW w:w="1728" w:type="dxa"/>
          </w:tcPr>
          <w:p w14:paraId="1ABC087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D3E5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3D6DF85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EN3</w:t>
            </w:r>
          </w:p>
        </w:tc>
      </w:tr>
      <w:tr w:rsidR="0041126D" w:rsidRPr="004D40EA" w14:paraId="0456B221" w14:textId="77777777">
        <w:trPr>
          <w:trHeight w:val="539"/>
        </w:trPr>
        <w:tc>
          <w:tcPr>
            <w:tcW w:w="1728" w:type="dxa"/>
          </w:tcPr>
          <w:p w14:paraId="342A4EE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620CD8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4378977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interview, or other instrument capable of measuring changes in behavior at the individual beneficiary level.  When possible, pre-post assessments should be utilized.</w:t>
            </w:r>
          </w:p>
        </w:tc>
      </w:tr>
    </w:tbl>
    <w:p w14:paraId="0CFC5AE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839261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6CAC74F" w14:textId="77777777">
        <w:trPr>
          <w:trHeight w:val="341"/>
        </w:trPr>
        <w:tc>
          <w:tcPr>
            <w:tcW w:w="1728" w:type="dxa"/>
          </w:tcPr>
          <w:p w14:paraId="5378159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6" w:name="EN4"/>
            <w:r w:rsidRPr="004D40EA">
              <w:rPr>
                <w:rFonts w:ascii="Avenir Next LT Pro" w:eastAsia="ヒラギノ角ゴ Pro W3" w:hAnsi="Avenir Next LT Pro"/>
                <w:b/>
                <w:color w:val="000000"/>
                <w:sz w:val="20"/>
                <w:szCs w:val="20"/>
              </w:rPr>
              <w:t>EN4</w:t>
            </w:r>
            <w:bookmarkEnd w:id="26"/>
            <w:r w:rsidRPr="004D40EA">
              <w:rPr>
                <w:rFonts w:ascii="Avenir Next LT Pro" w:eastAsia="ヒラギノ角ゴ Pro W3" w:hAnsi="Avenir Next LT Pro"/>
                <w:b/>
                <w:color w:val="000000"/>
                <w:sz w:val="20"/>
                <w:szCs w:val="20"/>
              </w:rPr>
              <w:t xml:space="preserve"> (output)</w:t>
            </w:r>
          </w:p>
        </w:tc>
        <w:tc>
          <w:tcPr>
            <w:tcW w:w="7646" w:type="dxa"/>
          </w:tcPr>
          <w:p w14:paraId="40E0AFF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treated</w:t>
            </w:r>
          </w:p>
        </w:tc>
      </w:tr>
      <w:tr w:rsidR="0041126D" w:rsidRPr="004D40EA" w14:paraId="000A8E19" w14:textId="77777777">
        <w:trPr>
          <w:trHeight w:val="2160"/>
        </w:trPr>
        <w:tc>
          <w:tcPr>
            <w:tcW w:w="1728" w:type="dxa"/>
          </w:tcPr>
          <w:p w14:paraId="2C4CE6D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D4152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6E06C4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parks</w:t>
            </w:r>
            <w:r w:rsidRPr="004D40EA">
              <w:rPr>
                <w:rFonts w:ascii="Avenir Next LT Pro" w:eastAsia="ヒラギノ角ゴ Pro W3" w:hAnsi="Avenir Next LT Pro"/>
                <w:color w:val="000000"/>
                <w:sz w:val="20"/>
                <w:szCs w:val="20"/>
              </w:rPr>
              <w:t>: Park/recreation areas that are designated by national, state, city, or county governments (not trails or rivers; see EN5)</w:t>
            </w:r>
          </w:p>
          <w:p w14:paraId="14A97D5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Other public lands:</w:t>
            </w:r>
            <w:r w:rsidRPr="004D40EA">
              <w:rPr>
                <w:rFonts w:ascii="Avenir Next LT Pro" w:eastAsia="ヒラギノ角ゴ Pro W3" w:hAnsi="Avenir Next LT Pro"/>
                <w:color w:val="000000"/>
                <w:sz w:val="20"/>
                <w:szCs w:val="20"/>
              </w:rPr>
              <w:t xml:space="preserve"> Other publicly owned lands; land owned by nonprofits for public use or the public good (such as land conservancies): and public easements</w:t>
            </w:r>
          </w:p>
          <w:p w14:paraId="4539FE8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Tribal lands:</w:t>
            </w:r>
            <w:r w:rsidRPr="004D40EA">
              <w:rPr>
                <w:rFonts w:ascii="Avenir Next LT Pro" w:eastAsia="ヒラギノ角ゴ Pro W3" w:hAnsi="Avenir Next LT Pro"/>
                <w:color w:val="000000"/>
                <w:sz w:val="20"/>
                <w:szCs w:val="20"/>
              </w:rPr>
              <w:t xml:space="preserve"> Same meaning as imparted by the definitions of “Indian Lands” and “Indian Tribes” provided in. SEC. 101. [42 U.S.C. 12511] </w:t>
            </w:r>
          </w:p>
          <w:p w14:paraId="5CE6099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clearing of natural debris (such as fallen trees/limbs, hazardous fuel) and unnatural debris (such as disaster debris and improperly disposed waste). Treatment must go beyond basic trash removal. </w:t>
            </w:r>
          </w:p>
        </w:tc>
      </w:tr>
      <w:tr w:rsidR="0041126D" w:rsidRPr="004D40EA" w14:paraId="5999A734" w14:textId="77777777">
        <w:trPr>
          <w:trHeight w:val="548"/>
        </w:trPr>
        <w:tc>
          <w:tcPr>
            <w:tcW w:w="1728" w:type="dxa"/>
          </w:tcPr>
          <w:p w14:paraId="2FF9F6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383A6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C84B1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acres of land that have received services</w:t>
            </w:r>
          </w:p>
        </w:tc>
      </w:tr>
    </w:tbl>
    <w:p w14:paraId="76B068D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1E9B60D" w14:textId="77777777">
        <w:trPr>
          <w:trHeight w:val="440"/>
        </w:trPr>
        <w:tc>
          <w:tcPr>
            <w:tcW w:w="1728" w:type="dxa"/>
          </w:tcPr>
          <w:p w14:paraId="68B27F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EN4.1 (outcome)</w:t>
            </w:r>
          </w:p>
        </w:tc>
        <w:tc>
          <w:tcPr>
            <w:tcW w:w="7646" w:type="dxa"/>
          </w:tcPr>
          <w:p w14:paraId="22C9C72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improved</w:t>
            </w:r>
          </w:p>
        </w:tc>
      </w:tr>
      <w:tr w:rsidR="0041126D" w:rsidRPr="004D40EA" w14:paraId="6C67FB3C" w14:textId="77777777">
        <w:trPr>
          <w:trHeight w:val="720"/>
        </w:trPr>
        <w:tc>
          <w:tcPr>
            <w:tcW w:w="1728" w:type="dxa"/>
          </w:tcPr>
          <w:p w14:paraId="6DF9E1D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65AF6F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AC20CC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Acres of public parks or other public and tribal lands: </w:t>
            </w:r>
            <w:r w:rsidRPr="004D40EA">
              <w:rPr>
                <w:rFonts w:ascii="Avenir Next LT Pro" w:eastAsia="ヒラギノ角ゴ Pro W3" w:hAnsi="Avenir Next LT Pro"/>
                <w:color w:val="000000"/>
                <w:sz w:val="20"/>
                <w:szCs w:val="20"/>
              </w:rPr>
              <w:t>those reported in EN4</w:t>
            </w:r>
          </w:p>
          <w:p w14:paraId="5170B8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Renovated to reduce human impact or the negative impact of natural disasters or invasive species, restored native plants and habitat, reduced erosion, protected watersheds, reduced wildfire risk, upgraded or repaired outdoor recreation facilities or signage, increased public safe access, protected flora and </w:t>
            </w:r>
            <w:r w:rsidRPr="004D40EA">
              <w:rPr>
                <w:rFonts w:ascii="Avenir Next LT Pro" w:eastAsia="ヒラギノ角ゴ Pro W3" w:hAnsi="Avenir Next LT Pro"/>
                <w:color w:val="000000"/>
                <w:sz w:val="20"/>
                <w:szCs w:val="20"/>
              </w:rPr>
              <w:lastRenderedPageBreak/>
              <w:t xml:space="preserve">fauna. Improvement should be consistent with an accepted natural resource restoration, maintenance or improvement plan. </w:t>
            </w:r>
          </w:p>
        </w:tc>
      </w:tr>
      <w:tr w:rsidR="0041126D" w:rsidRPr="004D40EA" w14:paraId="5E45089E" w14:textId="77777777">
        <w:trPr>
          <w:trHeight w:val="720"/>
        </w:trPr>
        <w:tc>
          <w:tcPr>
            <w:tcW w:w="1728" w:type="dxa"/>
          </w:tcPr>
          <w:p w14:paraId="6C1E2B9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C7A8D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485060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land condition at the scale of individual acres.  When possible, pre-post assessments should be utilized.</w:t>
            </w:r>
          </w:p>
        </w:tc>
      </w:tr>
    </w:tbl>
    <w:p w14:paraId="1968799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580CF6FC" w14:textId="2647D27D"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2CC36C" w14:textId="77777777">
        <w:trPr>
          <w:trHeight w:val="377"/>
        </w:trPr>
        <w:tc>
          <w:tcPr>
            <w:tcW w:w="1728" w:type="dxa"/>
          </w:tcPr>
          <w:p w14:paraId="046C01A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7" w:name="EN5"/>
            <w:r w:rsidRPr="004D40EA">
              <w:rPr>
                <w:rFonts w:ascii="Avenir Next LT Pro" w:eastAsia="ヒラギノ角ゴ Pro W3" w:hAnsi="Avenir Next LT Pro"/>
                <w:b/>
                <w:color w:val="000000"/>
                <w:sz w:val="20"/>
                <w:szCs w:val="20"/>
              </w:rPr>
              <w:t>EN5</w:t>
            </w:r>
            <w:bookmarkEnd w:id="27"/>
            <w:r w:rsidRPr="004D40EA">
              <w:rPr>
                <w:rFonts w:ascii="Avenir Next LT Pro" w:eastAsia="ヒラギノ角ゴ Pro W3" w:hAnsi="Avenir Next LT Pro"/>
                <w:b/>
                <w:color w:val="000000"/>
                <w:sz w:val="20"/>
                <w:szCs w:val="20"/>
              </w:rPr>
              <w:t xml:space="preserve"> (output)</w:t>
            </w:r>
          </w:p>
        </w:tc>
        <w:tc>
          <w:tcPr>
            <w:tcW w:w="7646" w:type="dxa"/>
          </w:tcPr>
          <w:p w14:paraId="3E894B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treated and/or constructed</w:t>
            </w:r>
          </w:p>
        </w:tc>
      </w:tr>
      <w:tr w:rsidR="0041126D" w:rsidRPr="004D40EA" w14:paraId="32F5CCB4" w14:textId="77777777">
        <w:trPr>
          <w:trHeight w:val="1680"/>
        </w:trPr>
        <w:tc>
          <w:tcPr>
            <w:tcW w:w="1728" w:type="dxa"/>
          </w:tcPr>
          <w:p w14:paraId="3451CD9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41480A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3C857C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trails or waterways</w:t>
            </w:r>
            <w:r w:rsidRPr="004D40EA">
              <w:rPr>
                <w:rFonts w:ascii="Avenir Next LT Pro" w:eastAsia="ヒラギノ角ゴ Pro W3" w:hAnsi="Avenir Next LT Pro"/>
                <w:color w:val="000000"/>
                <w:sz w:val="20"/>
                <w:szCs w:val="20"/>
              </w:rPr>
              <w:t>: owned/maintained by national, state, county, city or tribal governments; nonprofits when for public use or the public good; and public easements</w:t>
            </w:r>
          </w:p>
          <w:p w14:paraId="37DD11E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improving tread/corridor of existing trail or making changes to increase the trail lifespan, implementing safety measures, removal of unsafe trail structures, repair of damage caused by visitor use, changes to increase accessibility, clearing of natural debris (such as fallen trees/limbs and hazardous fuel) and unnatural debris (such as disaster debris and improperly disposed waste). Treatments must go beyond basic trash removal. </w:t>
            </w:r>
          </w:p>
          <w:p w14:paraId="370417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Constructed:</w:t>
            </w:r>
            <w:r w:rsidRPr="004D40EA">
              <w:rPr>
                <w:rFonts w:ascii="Avenir Next LT Pro" w:eastAsia="ヒラギノ角ゴ Pro W3" w:hAnsi="Avenir Next LT Pro"/>
                <w:color w:val="000000"/>
                <w:sz w:val="20"/>
                <w:szCs w:val="20"/>
              </w:rPr>
              <w:t xml:space="preserve"> Activities designed to make trails newly available such as</w:t>
            </w:r>
            <w:r w:rsidRPr="004D40EA" w:rsidDel="003C0718">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adding handicapped accessibility, building boardwalks, trail-blazing, converting a railroad bed to a trail, etc.</w:t>
            </w:r>
          </w:p>
        </w:tc>
      </w:tr>
      <w:tr w:rsidR="0041126D" w:rsidRPr="004D40EA" w14:paraId="2822BC87" w14:textId="77777777">
        <w:trPr>
          <w:trHeight w:val="320"/>
        </w:trPr>
        <w:tc>
          <w:tcPr>
            <w:tcW w:w="1728" w:type="dxa"/>
          </w:tcPr>
          <w:p w14:paraId="1ABAF3F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12D93F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C9200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miles of trail/waterway that have received services</w:t>
            </w:r>
          </w:p>
        </w:tc>
      </w:tr>
    </w:tbl>
    <w:p w14:paraId="57A75B1D"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A5F39BB"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6D48DCB" w14:textId="77777777">
        <w:trPr>
          <w:trHeight w:val="449"/>
        </w:trPr>
        <w:tc>
          <w:tcPr>
            <w:tcW w:w="1728" w:type="dxa"/>
          </w:tcPr>
          <w:p w14:paraId="42369EB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EN5.1 (outcome)</w:t>
            </w:r>
          </w:p>
        </w:tc>
        <w:tc>
          <w:tcPr>
            <w:tcW w:w="7646" w:type="dxa"/>
          </w:tcPr>
          <w:p w14:paraId="4474906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improved and/or put into use</w:t>
            </w:r>
          </w:p>
        </w:tc>
      </w:tr>
      <w:tr w:rsidR="0041126D" w:rsidRPr="004D40EA" w14:paraId="7AFEC80F" w14:textId="77777777">
        <w:trPr>
          <w:trHeight w:val="1680"/>
        </w:trPr>
        <w:tc>
          <w:tcPr>
            <w:tcW w:w="1728" w:type="dxa"/>
          </w:tcPr>
          <w:p w14:paraId="63507E6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20F526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40D9DAD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Miles of public trails or waterways:</w:t>
            </w:r>
            <w:r w:rsidRPr="004D40EA">
              <w:rPr>
                <w:rFonts w:ascii="Avenir Next LT Pro" w:eastAsia="ヒラギノ角ゴ Pro W3" w:hAnsi="Avenir Next LT Pro"/>
                <w:color w:val="000000"/>
                <w:sz w:val="20"/>
                <w:szCs w:val="20"/>
              </w:rPr>
              <w:t xml:space="preserve"> those reported in EN5</w:t>
            </w:r>
          </w:p>
          <w:p w14:paraId="00AE4421" w14:textId="77777777" w:rsidR="0041126D" w:rsidRPr="004D40EA" w:rsidRDefault="0041126D">
            <w:pPr>
              <w:spacing w:after="0" w:line="240" w:lineRule="auto"/>
              <w:contextualSpacing/>
              <w:rPr>
                <w:rFonts w:ascii="Avenir Next LT Pro"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Restored to reduce human impact or the negative impact of natural disasters or invasive species, restored native plants and habitat, reduced erosion, protected watersheds, increased safe condition or long-term sustainability of trails, increased accessibility, protected flora and fauna. </w:t>
            </w:r>
            <w:r w:rsidRPr="004D40EA">
              <w:rPr>
                <w:rFonts w:ascii="Avenir Next LT Pro" w:hAnsi="Avenir Next LT Pro"/>
                <w:color w:val="000000"/>
                <w:sz w:val="20"/>
                <w:szCs w:val="20"/>
              </w:rPr>
              <w:t>Improvement should be consistent with an accepted natural resource restoration, maintenance or improvement plan.</w:t>
            </w:r>
          </w:p>
          <w:p w14:paraId="387852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Put into use:</w:t>
            </w:r>
            <w:r w:rsidRPr="004D40EA">
              <w:rPr>
                <w:rFonts w:ascii="Avenir Next LT Pro" w:eastAsia="ヒラギノ角ゴ Pro W3" w:hAnsi="Avenir Next LT Pro"/>
                <w:color w:val="000000"/>
                <w:sz w:val="20"/>
                <w:szCs w:val="20"/>
              </w:rPr>
              <w:t xml:space="preserve"> Established safe and useable trails that are now available for public access</w:t>
            </w:r>
          </w:p>
        </w:tc>
      </w:tr>
      <w:tr w:rsidR="0041126D" w:rsidRPr="004D40EA" w14:paraId="6F6B89FD" w14:textId="77777777">
        <w:trPr>
          <w:trHeight w:val="320"/>
        </w:trPr>
        <w:tc>
          <w:tcPr>
            <w:tcW w:w="1728" w:type="dxa"/>
          </w:tcPr>
          <w:p w14:paraId="1B4DD0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3334C1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31FA6E7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trail or waterway condition at the scale of individual miles.  When possible, pre-post assessments should be utilized.</w:t>
            </w:r>
          </w:p>
        </w:tc>
      </w:tr>
    </w:tbl>
    <w:p w14:paraId="0B999DCF" w14:textId="77777777" w:rsidR="0041126D" w:rsidRPr="004D40EA" w:rsidRDefault="0041126D" w:rsidP="0041126D">
      <w:pPr>
        <w:spacing w:after="0" w:line="240" w:lineRule="auto"/>
        <w:contextualSpacing/>
        <w:rPr>
          <w:rFonts w:ascii="Avenir Next LT Pro" w:hAnsi="Avenir Next LT Pro"/>
          <w:sz w:val="20"/>
          <w:szCs w:val="20"/>
        </w:rPr>
      </w:pPr>
    </w:p>
    <w:p w14:paraId="1F47BB15" w14:textId="77777777" w:rsidR="0041126D" w:rsidRPr="004D40EA" w:rsidRDefault="0041126D" w:rsidP="0041126D">
      <w:pPr>
        <w:rPr>
          <w:rFonts w:ascii="Avenir Next LT Pro" w:eastAsia="ヒラギノ角ゴ Pro W3" w:hAnsi="Avenir Next LT Pro"/>
          <w:b/>
          <w:sz w:val="20"/>
          <w:szCs w:val="20"/>
        </w:rPr>
      </w:pPr>
      <w:bookmarkStart w:id="28" w:name="_Toc291853443"/>
      <w:bookmarkStart w:id="29" w:name="_Toc295997675"/>
      <w:bookmarkStart w:id="30" w:name="_Toc302478298"/>
      <w:bookmarkStart w:id="31" w:name="_Toc371442649"/>
      <w:bookmarkStart w:id="32" w:name="_Toc371442757"/>
    </w:p>
    <w:p w14:paraId="1DE0E6E7" w14:textId="77777777" w:rsidR="0041126D" w:rsidRPr="004D40EA" w:rsidRDefault="0041126D" w:rsidP="0041126D">
      <w:pPr>
        <w:pStyle w:val="Style2"/>
        <w:outlineLvl w:val="9"/>
        <w:rPr>
          <w:rStyle w:val="Strong1"/>
          <w:rFonts w:ascii="Avenir Next LT Pro" w:hAnsi="Avenir Next LT Pro"/>
        </w:rPr>
      </w:pPr>
      <w:bookmarkStart w:id="33" w:name="_Toc517776113"/>
      <w:bookmarkStart w:id="34" w:name="_Toc518376073"/>
    </w:p>
    <w:p w14:paraId="5806F054" w14:textId="77777777" w:rsidR="0041126D" w:rsidRPr="004D40EA" w:rsidRDefault="0041126D" w:rsidP="0041126D">
      <w:pPr>
        <w:pStyle w:val="Style2"/>
        <w:rPr>
          <w:rStyle w:val="Strong1"/>
          <w:rFonts w:ascii="Avenir Next LT Pro" w:hAnsi="Avenir Next LT Pro"/>
        </w:rPr>
      </w:pPr>
      <w:r w:rsidRPr="004D40EA">
        <w:rPr>
          <w:rStyle w:val="Strong1"/>
          <w:rFonts w:ascii="Avenir Next LT Pro" w:hAnsi="Avenir Next LT Pro"/>
        </w:rPr>
        <w:br w:type="page"/>
      </w:r>
      <w:bookmarkStart w:id="35" w:name="_Toc518377555"/>
      <w:r w:rsidRPr="004D40EA">
        <w:rPr>
          <w:rStyle w:val="Strong1"/>
          <w:rFonts w:ascii="Avenir Next LT Pro" w:hAnsi="Avenir Next LT Pro"/>
        </w:rPr>
        <w:lastRenderedPageBreak/>
        <w:t>HEALTHY FUTURES</w:t>
      </w:r>
      <w:bookmarkEnd w:id="33"/>
      <w:bookmarkEnd w:id="34"/>
      <w:bookmarkEnd w:id="35"/>
    </w:p>
    <w:p w14:paraId="1D3E9A23" w14:textId="77777777" w:rsidR="0041126D" w:rsidRPr="004D40EA" w:rsidRDefault="0041126D" w:rsidP="0041126D">
      <w:pPr>
        <w:spacing w:after="0" w:line="240" w:lineRule="auto"/>
        <w:contextualSpacing/>
        <w:rPr>
          <w:rFonts w:ascii="Avenir Next LT Pro" w:hAnsi="Avenir Next LT Pro"/>
          <w:b/>
          <w:sz w:val="20"/>
          <w:szCs w:val="20"/>
        </w:rPr>
      </w:pPr>
    </w:p>
    <w:p w14:paraId="05ABFF78"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2744E66"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Healthy Futures performance measures if the measures reflect significant program activities aligned with the applicant’s core theory of change.  </w:t>
      </w:r>
    </w:p>
    <w:p w14:paraId="32F0748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DB4025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p>
    <w:p w14:paraId="0DCB8C0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83EE470" w14:textId="77777777">
        <w:trPr>
          <w:trHeight w:val="330"/>
        </w:trPr>
        <w:tc>
          <w:tcPr>
            <w:tcW w:w="1728" w:type="dxa"/>
          </w:tcPr>
          <w:bookmarkEnd w:id="28"/>
          <w:bookmarkEnd w:id="29"/>
          <w:bookmarkEnd w:id="30"/>
          <w:bookmarkEnd w:id="31"/>
          <w:bookmarkEnd w:id="32"/>
          <w:p w14:paraId="54C754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H4A (output)</w:t>
            </w:r>
          </w:p>
        </w:tc>
        <w:tc>
          <w:tcPr>
            <w:tcW w:w="7646" w:type="dxa"/>
          </w:tcPr>
          <w:p w14:paraId="7DFA594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79E8E92F" w14:textId="77777777">
        <w:trPr>
          <w:trHeight w:val="512"/>
        </w:trPr>
        <w:tc>
          <w:tcPr>
            <w:tcW w:w="1728" w:type="dxa"/>
          </w:tcPr>
          <w:p w14:paraId="6FCE5D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5AEB95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1AD8F45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improving health-related outcomes</w:t>
            </w:r>
          </w:p>
          <w:p w14:paraId="1021C0A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health-related goal in mind.  Cannot consist solely of mass dissemination of information such as email blasts, social media posts, or distributing pamphlets.</w:t>
            </w:r>
          </w:p>
        </w:tc>
      </w:tr>
      <w:tr w:rsidR="0041126D" w:rsidRPr="004D40EA" w14:paraId="5E8692B3" w14:textId="77777777">
        <w:trPr>
          <w:trHeight w:val="470"/>
        </w:trPr>
        <w:tc>
          <w:tcPr>
            <w:tcW w:w="1728" w:type="dxa"/>
          </w:tcPr>
          <w:p w14:paraId="7746A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DC5C6E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576BD2E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6BB6D25D"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B00183A" w14:textId="77777777">
        <w:trPr>
          <w:trHeight w:val="330"/>
        </w:trPr>
        <w:tc>
          <w:tcPr>
            <w:tcW w:w="1728" w:type="dxa"/>
          </w:tcPr>
          <w:p w14:paraId="5FB124D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H9A (outcome)</w:t>
            </w:r>
          </w:p>
        </w:tc>
        <w:tc>
          <w:tcPr>
            <w:tcW w:w="7646" w:type="dxa"/>
          </w:tcPr>
          <w:p w14:paraId="29DFD5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w:t>
            </w:r>
            <w:r w:rsidRPr="004D40EA" w:rsidDel="00C068B0">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improved capacity for independent living</w:t>
            </w:r>
          </w:p>
        </w:tc>
      </w:tr>
      <w:tr w:rsidR="0041126D" w:rsidRPr="004D40EA" w14:paraId="733AD94D" w14:textId="77777777">
        <w:trPr>
          <w:trHeight w:val="330"/>
        </w:trPr>
        <w:tc>
          <w:tcPr>
            <w:tcW w:w="1728" w:type="dxa"/>
          </w:tcPr>
          <w:p w14:paraId="1DAE16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8836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7F593F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329653F" w14:textId="77777777">
        <w:trPr>
          <w:trHeight w:val="330"/>
        </w:trPr>
        <w:tc>
          <w:tcPr>
            <w:tcW w:w="1728" w:type="dxa"/>
          </w:tcPr>
          <w:p w14:paraId="33AF46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61D3E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0AF564D1"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color w:val="000000"/>
                <w:sz w:val="20"/>
                <w:szCs w:val="20"/>
              </w:rPr>
              <w:t>Survey, interview, caseworker assessment, or other instrument capable of measuring changes in independent living capacity at the individual beneficiary level.  When possible, pre-post assessments should be utilized.</w:t>
            </w:r>
          </w:p>
        </w:tc>
      </w:tr>
    </w:tbl>
    <w:p w14:paraId="661DC1A8"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B262162" w14:textId="77777777">
        <w:trPr>
          <w:trHeight w:val="305"/>
        </w:trPr>
        <w:tc>
          <w:tcPr>
            <w:tcW w:w="1728" w:type="dxa"/>
          </w:tcPr>
          <w:p w14:paraId="1E9B247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H10A (output)</w:t>
            </w:r>
          </w:p>
        </w:tc>
        <w:tc>
          <w:tcPr>
            <w:tcW w:w="7646" w:type="dxa"/>
          </w:tcPr>
          <w:p w14:paraId="40D309A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pounds of food provided</w:t>
            </w:r>
          </w:p>
        </w:tc>
      </w:tr>
      <w:tr w:rsidR="0041126D" w:rsidRPr="004D40EA" w14:paraId="26886BED" w14:textId="77777777">
        <w:trPr>
          <w:trHeight w:val="692"/>
        </w:trPr>
        <w:tc>
          <w:tcPr>
            <w:tcW w:w="1728" w:type="dxa"/>
          </w:tcPr>
          <w:p w14:paraId="00DBA5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5563A0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57FD2BD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Food provided: </w:t>
            </w:r>
            <w:r w:rsidRPr="004D40EA">
              <w:rPr>
                <w:rFonts w:ascii="Avenir Next LT Pro" w:eastAsia="ヒラギノ角ゴ Pro W3" w:hAnsi="Avenir Next LT Pro"/>
                <w:color w:val="000000"/>
                <w:sz w:val="20"/>
                <w:szCs w:val="20"/>
              </w:rPr>
              <w:t>made available at reduced or no cost to individuals and/or organizations for the purpose of alleviating food insecurity or hunger.  May include community garden programs.</w:t>
            </w:r>
          </w:p>
        </w:tc>
      </w:tr>
      <w:tr w:rsidR="0041126D" w:rsidRPr="004D40EA" w14:paraId="6A0E5B33" w14:textId="77777777">
        <w:trPr>
          <w:trHeight w:val="320"/>
        </w:trPr>
        <w:tc>
          <w:tcPr>
            <w:tcW w:w="1728" w:type="dxa"/>
          </w:tcPr>
          <w:p w14:paraId="5AA124E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310DE5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92FCE6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pounds of food provided</w:t>
            </w:r>
          </w:p>
        </w:tc>
      </w:tr>
    </w:tbl>
    <w:p w14:paraId="43CD91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047BA3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BD07243" w14:textId="77777777">
        <w:trPr>
          <w:trHeight w:val="332"/>
        </w:trPr>
        <w:tc>
          <w:tcPr>
            <w:tcW w:w="1728" w:type="dxa"/>
          </w:tcPr>
          <w:p w14:paraId="1AC00A1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H12 (outcome)</w:t>
            </w:r>
          </w:p>
        </w:tc>
        <w:tc>
          <w:tcPr>
            <w:tcW w:w="7646" w:type="dxa"/>
          </w:tcPr>
          <w:p w14:paraId="545068C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 increased food security</w:t>
            </w:r>
          </w:p>
        </w:tc>
      </w:tr>
      <w:tr w:rsidR="0041126D" w:rsidRPr="004D40EA" w14:paraId="7AE023DC" w14:textId="77777777">
        <w:trPr>
          <w:trHeight w:val="1335"/>
        </w:trPr>
        <w:tc>
          <w:tcPr>
            <w:tcW w:w="1728" w:type="dxa"/>
          </w:tcPr>
          <w:p w14:paraId="76BC31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CBA7E4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098C3B3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p w14:paraId="63C7C43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Food security</w:t>
            </w:r>
            <w:r w:rsidRPr="004D40EA">
              <w:rPr>
                <w:rFonts w:ascii="Avenir Next LT Pro" w:eastAsia="ヒラギノ角ゴ Pro W3" w:hAnsi="Avenir Next LT Pro"/>
                <w:color w:val="000000"/>
                <w:sz w:val="20"/>
                <w:szCs w:val="20"/>
              </w:rPr>
              <w:t>: Access at all times to enough food for an active, healthy life.  Food security includes at a minimum: (1) the ready availability of</w:t>
            </w:r>
          </w:p>
          <w:p w14:paraId="01BFE7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nutritionally adequate and safe foods, and (2) an assured ability to acquire acceptable</w:t>
            </w:r>
          </w:p>
          <w:p w14:paraId="3A2D3B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foods in socially acceptable ways (that is, without resorting to emergency food supplies,</w:t>
            </w:r>
          </w:p>
          <w:p w14:paraId="74584F1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scavenging, stealing, or other coping strategies). [USDA]</w:t>
            </w:r>
          </w:p>
        </w:tc>
      </w:tr>
      <w:tr w:rsidR="0041126D" w:rsidRPr="004D40EA" w14:paraId="6BF88DE8" w14:textId="77777777">
        <w:trPr>
          <w:trHeight w:val="255"/>
        </w:trPr>
        <w:tc>
          <w:tcPr>
            <w:tcW w:w="1728" w:type="dxa"/>
          </w:tcPr>
          <w:p w14:paraId="03CCB9C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FFF5E0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62C64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interview, caseworker assessment, or other instrument capable of measuring changes in food security at the individual beneficiary level.  When possible, pre-post assessments should be utilized. </w:t>
            </w:r>
          </w:p>
        </w:tc>
      </w:tr>
    </w:tbl>
    <w:p w14:paraId="098F89DE" w14:textId="14CDAE94" w:rsidR="0041126D" w:rsidRPr="004D40EA" w:rsidRDefault="0041126D" w:rsidP="0041126D">
      <w:pPr>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CD7AC2C" w14:textId="77777777">
        <w:trPr>
          <w:trHeight w:val="332"/>
        </w:trPr>
        <w:tc>
          <w:tcPr>
            <w:tcW w:w="1728" w:type="dxa"/>
          </w:tcPr>
          <w:p w14:paraId="62A8BA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H17 (outcome)</w:t>
            </w:r>
          </w:p>
        </w:tc>
        <w:tc>
          <w:tcPr>
            <w:tcW w:w="7646" w:type="dxa"/>
          </w:tcPr>
          <w:p w14:paraId="7E18EA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health knowledge</w:t>
            </w:r>
          </w:p>
        </w:tc>
      </w:tr>
      <w:tr w:rsidR="0041126D" w:rsidRPr="004D40EA" w14:paraId="383DBBE4" w14:textId="77777777">
        <w:trPr>
          <w:trHeight w:val="539"/>
        </w:trPr>
        <w:tc>
          <w:tcPr>
            <w:tcW w:w="1728" w:type="dxa"/>
          </w:tcPr>
          <w:p w14:paraId="18F4D7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3F6302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tcPr>
          <w:p w14:paraId="16A0F7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398D27C9" w14:textId="77777777">
        <w:trPr>
          <w:trHeight w:val="255"/>
        </w:trPr>
        <w:tc>
          <w:tcPr>
            <w:tcW w:w="1728" w:type="dxa"/>
          </w:tcPr>
          <w:p w14:paraId="335DFA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3756AD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tcPr>
          <w:p w14:paraId="134783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test, or other instrument capable of measuring changes in knowledge at the individual beneficiary level.  When possible, pre-post assessments should be utilized. </w:t>
            </w:r>
          </w:p>
        </w:tc>
      </w:tr>
    </w:tbl>
    <w:p w14:paraId="773C12C6"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6A91E14"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9A81CF6" w14:textId="77777777">
        <w:trPr>
          <w:trHeight w:val="332"/>
        </w:trPr>
        <w:tc>
          <w:tcPr>
            <w:tcW w:w="1728" w:type="dxa"/>
          </w:tcPr>
          <w:p w14:paraId="30F3D1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H18 (outcome)</w:t>
            </w:r>
          </w:p>
        </w:tc>
        <w:tc>
          <w:tcPr>
            <w:tcW w:w="7646" w:type="dxa"/>
          </w:tcPr>
          <w:p w14:paraId="14C0206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reporting a change in behavior or intent to change behavior to improve their health</w:t>
            </w:r>
          </w:p>
        </w:tc>
      </w:tr>
      <w:tr w:rsidR="0041126D" w:rsidRPr="004D40EA" w14:paraId="0807C831" w14:textId="77777777">
        <w:trPr>
          <w:trHeight w:val="530"/>
        </w:trPr>
        <w:tc>
          <w:tcPr>
            <w:tcW w:w="1728" w:type="dxa"/>
          </w:tcPr>
          <w:p w14:paraId="316BC16A"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0DE7D441"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11C685C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DC98770" w14:textId="77777777">
        <w:trPr>
          <w:trHeight w:val="255"/>
        </w:trPr>
        <w:tc>
          <w:tcPr>
            <w:tcW w:w="1728" w:type="dxa"/>
          </w:tcPr>
          <w:p w14:paraId="2D97B48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2FF65A44"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18F1C2C4"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Survey, interview, or other instrument capable of measuring changes in behavior at the individual beneficiary level.  When possible, pre-post assessments should be utilized.</w:t>
            </w:r>
          </w:p>
        </w:tc>
      </w:tr>
    </w:tbl>
    <w:p w14:paraId="075D89F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818325"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490AEA4" w14:textId="77777777">
        <w:trPr>
          <w:trHeight w:val="314"/>
        </w:trPr>
        <w:tc>
          <w:tcPr>
            <w:tcW w:w="1728" w:type="dxa"/>
          </w:tcPr>
          <w:p w14:paraId="4590FCCE"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H19 (outcome)</w:t>
            </w:r>
          </w:p>
        </w:tc>
        <w:tc>
          <w:tcPr>
            <w:tcW w:w="7646" w:type="dxa"/>
          </w:tcPr>
          <w:p w14:paraId="663F46EC"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health</w:t>
            </w:r>
          </w:p>
        </w:tc>
      </w:tr>
      <w:tr w:rsidR="0041126D" w:rsidRPr="004D40EA" w14:paraId="12EF6C5C" w14:textId="77777777">
        <w:trPr>
          <w:trHeight w:val="503"/>
        </w:trPr>
        <w:tc>
          <w:tcPr>
            <w:tcW w:w="1728" w:type="dxa"/>
          </w:tcPr>
          <w:p w14:paraId="5D889A6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5C99211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79963801"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59BA8B69" w14:textId="77777777">
        <w:trPr>
          <w:trHeight w:val="255"/>
        </w:trPr>
        <w:tc>
          <w:tcPr>
            <w:tcW w:w="1728" w:type="dxa"/>
          </w:tcPr>
          <w:p w14:paraId="061CD1C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1AA8764B"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4BCEDB2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Assessment by a healthcare professional, survey, or other instrument capable of measuring changes in health condition at the individual beneficiary level.  When possible, pre-post assessments should be utilized. </w:t>
            </w:r>
          </w:p>
        </w:tc>
      </w:tr>
    </w:tbl>
    <w:p w14:paraId="64831AFA"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14AECEE0"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C8D21F4" w14:textId="77777777">
        <w:trPr>
          <w:trHeight w:val="332"/>
        </w:trPr>
        <w:tc>
          <w:tcPr>
            <w:tcW w:w="1728" w:type="dxa"/>
          </w:tcPr>
          <w:p w14:paraId="114329F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H20 (outcome)</w:t>
            </w:r>
          </w:p>
        </w:tc>
        <w:tc>
          <w:tcPr>
            <w:tcW w:w="7646" w:type="dxa"/>
          </w:tcPr>
          <w:p w14:paraId="58AE94BE"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access to medical care</w:t>
            </w:r>
          </w:p>
        </w:tc>
      </w:tr>
      <w:tr w:rsidR="0041126D" w:rsidRPr="004D40EA" w14:paraId="2AD366BD" w14:textId="77777777">
        <w:trPr>
          <w:trHeight w:val="485"/>
        </w:trPr>
        <w:tc>
          <w:tcPr>
            <w:tcW w:w="1728" w:type="dxa"/>
          </w:tcPr>
          <w:p w14:paraId="0D5C5AD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2B14E13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tcPr>
          <w:p w14:paraId="5B10B3E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
                <w:bCs/>
                <w:kern w:val="32"/>
                <w:sz w:val="20"/>
                <w:szCs w:val="20"/>
              </w:rPr>
              <w:t xml:space="preserve">Individuals: </w:t>
            </w:r>
            <w:r w:rsidRPr="004D40EA">
              <w:rPr>
                <w:rFonts w:ascii="Avenir Next LT Pro" w:hAnsi="Avenir Next LT Pro"/>
                <w:bCs/>
                <w:kern w:val="32"/>
                <w:sz w:val="20"/>
                <w:szCs w:val="20"/>
              </w:rPr>
              <w:t>those reported in H4A</w:t>
            </w:r>
            <w:r w:rsidRPr="004D40EA">
              <w:rPr>
                <w:rFonts w:ascii="Avenir Next LT Pro" w:hAnsi="Avenir Next LT Pro"/>
                <w:sz w:val="20"/>
                <w:szCs w:val="20"/>
              </w:rPr>
              <w:t>, V1, V7A, or V8</w:t>
            </w:r>
          </w:p>
        </w:tc>
      </w:tr>
      <w:tr w:rsidR="0041126D" w:rsidRPr="004D40EA" w14:paraId="599A777D" w14:textId="77777777">
        <w:trPr>
          <w:trHeight w:val="255"/>
        </w:trPr>
        <w:tc>
          <w:tcPr>
            <w:tcW w:w="1728" w:type="dxa"/>
          </w:tcPr>
          <w:p w14:paraId="0B1919C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5CFDEA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tcPr>
          <w:p w14:paraId="14213928"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Survey, interview, caseworker assessment, or other instrument capable of measuring changes in health care access at the individual beneficiary level.  When possible, pre-post assessments should be utilized. </w:t>
            </w:r>
          </w:p>
        </w:tc>
      </w:tr>
    </w:tbl>
    <w:p w14:paraId="15E6ECF3"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71CE764" w14:textId="77777777" w:rsidR="0041126D" w:rsidRPr="004D40EA" w:rsidRDefault="0041126D" w:rsidP="0041126D">
      <w:pPr>
        <w:spacing w:after="0" w:line="240" w:lineRule="auto"/>
        <w:contextualSpacing/>
        <w:rPr>
          <w:rFonts w:ascii="Avenir Next LT Pro" w:hAnsi="Avenir Next LT Pro"/>
          <w:sz w:val="20"/>
          <w:szCs w:val="20"/>
        </w:rPr>
      </w:pPr>
    </w:p>
    <w:p w14:paraId="0AE5BB4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4D4A83" w14:textId="77777777" w:rsidR="0041126D" w:rsidRPr="004D40EA" w:rsidRDefault="0041126D" w:rsidP="0041126D">
      <w:pPr>
        <w:pStyle w:val="Style2"/>
        <w:rPr>
          <w:rFonts w:ascii="Avenir Next LT Pro" w:eastAsia="ヒラギノ角ゴ Pro W3" w:hAnsi="Avenir Next LT Pro"/>
          <w:color w:val="000000"/>
        </w:rPr>
      </w:pPr>
      <w:r w:rsidRPr="004D40EA">
        <w:rPr>
          <w:rFonts w:ascii="Avenir Next LT Pro" w:hAnsi="Avenir Next LT Pro"/>
        </w:rPr>
        <w:br w:type="page"/>
      </w:r>
      <w:bookmarkStart w:id="36" w:name="_Toc518377556"/>
      <w:r w:rsidRPr="004D40EA">
        <w:rPr>
          <w:rStyle w:val="Strong1"/>
          <w:rFonts w:ascii="Avenir Next LT Pro" w:hAnsi="Avenir Next LT Pro"/>
        </w:rPr>
        <w:lastRenderedPageBreak/>
        <w:t>VETERANS AND MILITARY FAMILIES</w:t>
      </w:r>
      <w:bookmarkEnd w:id="36"/>
    </w:p>
    <w:p w14:paraId="72304945"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p>
    <w:p w14:paraId="4177D96C"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2DDCD9BB"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Veterans and Military Families performance measures if the measures reflect significant program activities aligned with the applicant’s core theory of change.  </w:t>
      </w:r>
    </w:p>
    <w:p w14:paraId="0C999814"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p>
    <w:p w14:paraId="7B6BF321"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r w:rsidRPr="004D40EA">
        <w:rPr>
          <w:rFonts w:ascii="Avenir Next LT Pro" w:eastAsia="ヒラギノ角ゴ Pro W3" w:hAnsi="Avenir Next LT Pro"/>
          <w:color w:val="000000"/>
          <w:sz w:val="20"/>
          <w:szCs w:val="20"/>
        </w:rPr>
        <w:br/>
      </w:r>
    </w:p>
    <w:p w14:paraId="775B3E3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188F52CD" w14:textId="77777777">
        <w:tc>
          <w:tcPr>
            <w:tcW w:w="1627" w:type="dxa"/>
          </w:tcPr>
          <w:p w14:paraId="026E75F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37" w:name="V1"/>
            <w:r w:rsidRPr="004D40EA">
              <w:rPr>
                <w:rFonts w:ascii="Avenir Next LT Pro" w:eastAsia="ヒラギノ角ゴ Pro W3" w:hAnsi="Avenir Next LT Pro"/>
                <w:b/>
                <w:color w:val="000000"/>
                <w:sz w:val="20"/>
                <w:szCs w:val="20"/>
              </w:rPr>
              <w:t>V1</w:t>
            </w:r>
            <w:bookmarkEnd w:id="37"/>
            <w:r w:rsidRPr="004D40EA">
              <w:rPr>
                <w:rFonts w:ascii="Avenir Next LT Pro" w:eastAsia="ヒラギノ角ゴ Pro W3" w:hAnsi="Avenir Next LT Pro"/>
                <w:b/>
                <w:color w:val="000000"/>
                <w:sz w:val="20"/>
                <w:szCs w:val="20"/>
              </w:rPr>
              <w:t xml:space="preserve"> (output)</w:t>
            </w:r>
          </w:p>
        </w:tc>
        <w:tc>
          <w:tcPr>
            <w:tcW w:w="7747" w:type="dxa"/>
          </w:tcPr>
          <w:p w14:paraId="62B017D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veterans served</w:t>
            </w:r>
          </w:p>
        </w:tc>
      </w:tr>
      <w:tr w:rsidR="0041126D" w:rsidRPr="004D40EA" w14:paraId="2C1A98FB" w14:textId="77777777">
        <w:trPr>
          <w:trHeight w:val="1187"/>
        </w:trPr>
        <w:tc>
          <w:tcPr>
            <w:tcW w:w="1627" w:type="dxa"/>
          </w:tcPr>
          <w:p w14:paraId="4D6835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1E1DD5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40F511F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14C030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F7E08DA" w14:textId="77777777">
        <w:trPr>
          <w:trHeight w:val="470"/>
        </w:trPr>
        <w:tc>
          <w:tcPr>
            <w:tcW w:w="1627" w:type="dxa"/>
          </w:tcPr>
          <w:p w14:paraId="136B9241"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0D67C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5F7390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1268EE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F45098F"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0B7A850A" w14:textId="77777777">
        <w:trPr>
          <w:trHeight w:val="330"/>
        </w:trPr>
        <w:tc>
          <w:tcPr>
            <w:tcW w:w="1627" w:type="dxa"/>
          </w:tcPr>
          <w:p w14:paraId="268CA46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br w:type="page"/>
            </w:r>
            <w:bookmarkStart w:id="38" w:name="V7"/>
            <w:r w:rsidRPr="004D40EA">
              <w:rPr>
                <w:rFonts w:ascii="Avenir Next LT Pro" w:eastAsia="ヒラギノ角ゴ Pro W3" w:hAnsi="Avenir Next LT Pro"/>
                <w:b/>
                <w:color w:val="000000"/>
                <w:sz w:val="20"/>
                <w:szCs w:val="20"/>
              </w:rPr>
              <w:t>V7</w:t>
            </w:r>
            <w:bookmarkEnd w:id="38"/>
            <w:r w:rsidRPr="004D40EA">
              <w:rPr>
                <w:rFonts w:ascii="Avenir Next LT Pro" w:eastAsia="ヒラギノ角ゴ Pro W3" w:hAnsi="Avenir Next LT Pro"/>
                <w:b/>
                <w:color w:val="000000"/>
                <w:sz w:val="20"/>
                <w:szCs w:val="20"/>
              </w:rPr>
              <w:t>A (output)</w:t>
            </w:r>
          </w:p>
        </w:tc>
        <w:tc>
          <w:tcPr>
            <w:tcW w:w="7747" w:type="dxa"/>
          </w:tcPr>
          <w:p w14:paraId="7C8B6A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active duty military service members and/or military family members served</w:t>
            </w:r>
          </w:p>
        </w:tc>
      </w:tr>
      <w:tr w:rsidR="0041126D" w:rsidRPr="004D40EA" w14:paraId="2C5B2230" w14:textId="77777777">
        <w:tc>
          <w:tcPr>
            <w:tcW w:w="1627" w:type="dxa"/>
          </w:tcPr>
          <w:p w14:paraId="764E7B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BE186D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55FEF7B1" w14:textId="77777777" w:rsidR="0041126D" w:rsidRPr="004D40EA" w:rsidRDefault="0041126D">
            <w:pPr>
              <w:autoSpaceDE w:val="0"/>
              <w:autoSpaceDN w:val="0"/>
              <w:adjustRightInd w:val="0"/>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rPr>
              <w:t>Active duty military service member</w:t>
            </w:r>
            <w:r w:rsidRPr="004D40EA">
              <w:rPr>
                <w:rFonts w:ascii="Avenir Next LT Pro" w:eastAsia="ヒラギノ角ゴ Pro W3" w:hAnsi="Avenir Next LT Pro"/>
                <w:color w:val="000000"/>
                <w:sz w:val="20"/>
                <w:szCs w:val="20"/>
              </w:rPr>
              <w:t>: The term ‘‘active duty’’ means</w:t>
            </w:r>
            <w:r w:rsidRPr="004D40EA">
              <w:rPr>
                <w:rFonts w:ascii="Avenir Next LT Pro" w:eastAsia="Times New Roman" w:hAnsi="Avenir Next LT Pro"/>
                <w:sz w:val="20"/>
                <w:szCs w:val="20"/>
              </w:rPr>
              <w:t xml:space="preserve"> “full-time duty in the active military service of the United States, including active duty or full-time training duty in the Reserve Component” [DOD Dictionary of Military and Associated Terms, April 2018].  </w:t>
            </w:r>
            <w:r w:rsidRPr="004D40EA">
              <w:rPr>
                <w:rFonts w:ascii="Avenir Next LT Pro" w:eastAsia="ヒラギノ角ゴ Pro W3" w:hAnsi="Avenir Next LT Pro"/>
                <w:sz w:val="20"/>
                <w:szCs w:val="20"/>
              </w:rPr>
              <w:t xml:space="preserve">AmeriCorps considers National Guard members and reservists and wounded </w:t>
            </w:r>
            <w:proofErr w:type="gramStart"/>
            <w:r w:rsidRPr="004D40EA">
              <w:rPr>
                <w:rFonts w:ascii="Avenir Next LT Pro" w:eastAsia="ヒラギノ角ゴ Pro W3" w:hAnsi="Avenir Next LT Pro"/>
                <w:sz w:val="20"/>
                <w:szCs w:val="20"/>
              </w:rPr>
              <w:t>warriors</w:t>
            </w:r>
            <w:proofErr w:type="gramEnd"/>
            <w:r w:rsidRPr="004D40EA">
              <w:rPr>
                <w:rFonts w:ascii="Avenir Next LT Pro" w:eastAsia="ヒラギノ角ゴ Pro W3" w:hAnsi="Avenir Next LT Pro"/>
                <w:b/>
                <w:sz w:val="20"/>
                <w:szCs w:val="20"/>
              </w:rPr>
              <w:t xml:space="preserve"> </w:t>
            </w:r>
            <w:r w:rsidRPr="004D40EA">
              <w:rPr>
                <w:rFonts w:ascii="Avenir Next LT Pro" w:eastAsia="ヒラギノ角ゴ Pro W3" w:hAnsi="Avenir Next LT Pro"/>
                <w:sz w:val="20"/>
                <w:szCs w:val="20"/>
              </w:rPr>
              <w:t>sub-groups of active duty military service members for the purposes of grant applications and performance measure reporting.</w:t>
            </w:r>
          </w:p>
          <w:p w14:paraId="317118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Military family member:</w:t>
            </w:r>
            <w:r w:rsidRPr="004D40EA">
              <w:rPr>
                <w:rFonts w:ascii="Avenir Next LT Pro" w:eastAsia="ヒラギノ角ゴ Pro W3" w:hAnsi="Avenir Next LT Pro"/>
                <w:color w:val="000000"/>
                <w:sz w:val="20"/>
                <w:szCs w:val="20"/>
              </w:rPr>
              <w:t xml:space="preserve"> Immediate family member related by blood, marriage, or adoption to a current member of the U.S. armed forces including one who is deceased. </w:t>
            </w:r>
          </w:p>
          <w:p w14:paraId="5AC0AA89" w14:textId="77777777" w:rsidR="0041126D" w:rsidRPr="004D40EA" w:rsidRDefault="0041126D">
            <w:pPr>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5A0290B" w14:textId="77777777">
        <w:trPr>
          <w:trHeight w:val="764"/>
        </w:trPr>
        <w:tc>
          <w:tcPr>
            <w:tcW w:w="1627" w:type="dxa"/>
          </w:tcPr>
          <w:p w14:paraId="3F3B4BCD"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60D7D2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52B0D9C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4C538534" w14:textId="77777777" w:rsidR="0041126D" w:rsidRPr="004D40EA" w:rsidRDefault="0041126D" w:rsidP="0041126D">
      <w:pPr>
        <w:spacing w:after="0" w:line="240" w:lineRule="auto"/>
        <w:contextualSpacing/>
        <w:rPr>
          <w:rFonts w:ascii="Avenir Next LT Pro" w:hAnsi="Avenir Next LT Pro"/>
          <w:sz w:val="20"/>
          <w:szCs w:val="20"/>
        </w:rPr>
      </w:pPr>
    </w:p>
    <w:p w14:paraId="3B29FF8C"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43272AD1" w14:textId="77777777">
        <w:tc>
          <w:tcPr>
            <w:tcW w:w="1627" w:type="dxa"/>
          </w:tcPr>
          <w:p w14:paraId="553D67A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V8 (output)</w:t>
            </w:r>
          </w:p>
        </w:tc>
        <w:tc>
          <w:tcPr>
            <w:tcW w:w="7747" w:type="dxa"/>
          </w:tcPr>
          <w:p w14:paraId="2FBEBB6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 family members served</w:t>
            </w:r>
          </w:p>
        </w:tc>
      </w:tr>
      <w:tr w:rsidR="0041126D" w:rsidRPr="004D40EA" w14:paraId="555023BA" w14:textId="77777777">
        <w:trPr>
          <w:trHeight w:val="1718"/>
        </w:trPr>
        <w:tc>
          <w:tcPr>
            <w:tcW w:w="1627" w:type="dxa"/>
          </w:tcPr>
          <w:p w14:paraId="50A25EB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Definition of </w:t>
            </w:r>
          </w:p>
          <w:p w14:paraId="001803E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tcPr>
          <w:p w14:paraId="34594B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60BB87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Veteran family member: </w:t>
            </w:r>
            <w:r w:rsidRPr="004D40EA">
              <w:rPr>
                <w:rFonts w:ascii="Avenir Next LT Pro" w:eastAsia="ヒラギノ角ゴ Pro W3" w:hAnsi="Avenir Next LT Pro"/>
                <w:color w:val="000000"/>
                <w:sz w:val="20"/>
                <w:szCs w:val="20"/>
              </w:rPr>
              <w:t>Immediate family member related by blood, marriage, or adoption to a veteran, including one who is deceased.</w:t>
            </w:r>
          </w:p>
          <w:p w14:paraId="1550BC2F"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7E2932A9" w14:textId="77777777">
        <w:trPr>
          <w:trHeight w:val="764"/>
        </w:trPr>
        <w:tc>
          <w:tcPr>
            <w:tcW w:w="1627" w:type="dxa"/>
          </w:tcPr>
          <w:p w14:paraId="7E776970"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4614E9D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tcPr>
          <w:p w14:paraId="2B5BDC8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0D897FFF" w14:textId="77777777" w:rsidR="0041126D" w:rsidRPr="004D40EA" w:rsidRDefault="0041126D" w:rsidP="0041126D">
      <w:pPr>
        <w:spacing w:after="0" w:line="240" w:lineRule="auto"/>
        <w:contextualSpacing/>
        <w:rPr>
          <w:rFonts w:ascii="Avenir Next LT Pro" w:hAnsi="Avenir Next LT Pro"/>
          <w:sz w:val="20"/>
          <w:szCs w:val="20"/>
        </w:rPr>
      </w:pPr>
    </w:p>
    <w:p w14:paraId="6F002430" w14:textId="77777777" w:rsidR="0041126D" w:rsidRPr="004D40EA" w:rsidRDefault="0041126D" w:rsidP="0041126D">
      <w:pPr>
        <w:pStyle w:val="Style1"/>
        <w:rPr>
          <w:rFonts w:ascii="Avenir Next LT Pro" w:hAnsi="Avenir Next LT Pro"/>
        </w:rPr>
      </w:pPr>
    </w:p>
    <w:p w14:paraId="5779A399" w14:textId="77777777" w:rsidR="00065EA4" w:rsidRDefault="00065EA4">
      <w:pPr>
        <w:spacing w:after="160" w:line="259" w:lineRule="auto"/>
        <w:rPr>
          <w:rFonts w:ascii="Avenir Next LT Pro" w:hAnsi="Avenir Next LT Pro"/>
          <w:b/>
          <w:sz w:val="20"/>
          <w:szCs w:val="20"/>
        </w:rPr>
      </w:pPr>
      <w:bookmarkStart w:id="39" w:name="_Toc518377557"/>
      <w:r>
        <w:rPr>
          <w:rFonts w:ascii="Avenir Next LT Pro" w:hAnsi="Avenir Next LT Pro"/>
        </w:rPr>
        <w:br w:type="page"/>
      </w:r>
    </w:p>
    <w:p w14:paraId="73793B5F" w14:textId="762A7FE6" w:rsidR="0041126D" w:rsidRPr="004D40EA" w:rsidRDefault="0041126D" w:rsidP="0041126D">
      <w:pPr>
        <w:pStyle w:val="Style1"/>
        <w:outlineLvl w:val="0"/>
        <w:rPr>
          <w:rFonts w:ascii="Avenir Next LT Pro" w:hAnsi="Avenir Next LT Pro"/>
        </w:rPr>
      </w:pPr>
      <w:r w:rsidRPr="004D40EA">
        <w:rPr>
          <w:rFonts w:ascii="Avenir Next LT Pro" w:hAnsi="Avenir Next LT Pro"/>
        </w:rPr>
        <w:lastRenderedPageBreak/>
        <w:t>Appendix A: Understanding MSY and Member Allocations</w:t>
      </w:r>
      <w:bookmarkEnd w:id="39"/>
    </w:p>
    <w:p w14:paraId="0CE7A81F" w14:textId="77777777" w:rsidR="0041126D" w:rsidRPr="004D40EA" w:rsidRDefault="0041126D" w:rsidP="0041126D">
      <w:pPr>
        <w:spacing w:after="0" w:line="240" w:lineRule="auto"/>
        <w:contextualSpacing/>
        <w:rPr>
          <w:rFonts w:ascii="Avenir Next LT Pro" w:hAnsi="Avenir Next LT Pro"/>
          <w:b/>
          <w:sz w:val="20"/>
          <w:szCs w:val="20"/>
        </w:rPr>
      </w:pPr>
    </w:p>
    <w:p w14:paraId="2E296370"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Calculate MSY and Member Allocations </w:t>
      </w:r>
    </w:p>
    <w:p w14:paraId="04D87FAE" w14:textId="77777777" w:rsidR="0041126D" w:rsidRPr="004D40EA" w:rsidRDefault="0041126D" w:rsidP="0041126D">
      <w:pPr>
        <w:spacing w:after="0" w:line="240" w:lineRule="auto"/>
        <w:contextualSpacing/>
        <w:rPr>
          <w:rFonts w:ascii="Avenir Next LT Pro" w:hAnsi="Avenir Next LT Pro"/>
          <w:sz w:val="20"/>
          <w:szCs w:val="20"/>
        </w:rPr>
      </w:pPr>
    </w:p>
    <w:p w14:paraId="00A6EE5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 the performance measure module, applicants enter the total share of program resources (MSYs and members) that will be directed to each objective.  Member and MSY allocations entered in the application should be the program’s best estimate of how member time will be allocated.</w:t>
      </w:r>
    </w:p>
    <w:p w14:paraId="1F120E98" w14:textId="77777777" w:rsidR="0041126D" w:rsidRPr="004D40EA" w:rsidRDefault="0041126D" w:rsidP="0041126D">
      <w:pPr>
        <w:spacing w:after="0" w:line="240" w:lineRule="auto"/>
        <w:contextualSpacing/>
        <w:rPr>
          <w:rFonts w:ascii="Avenir Next LT Pro" w:hAnsi="Avenir Next LT Pro"/>
          <w:sz w:val="20"/>
          <w:szCs w:val="20"/>
        </w:rPr>
      </w:pPr>
    </w:p>
    <w:p w14:paraId="12C69D4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charts below show how a sample program could calculate its MSY allocations for different member types and different percentages of member time spent per objective.  In this example, the program has a total of 135 members representing a variety of different slot types.  All members spend at least some of their time contributing to the K-12 Success objective.  The program’s full-time and half-time members also spend time contributing to the School Readiness objective:  50% of their time for full-time members and 20% for half-time members.  </w:t>
      </w:r>
    </w:p>
    <w:p w14:paraId="688CC41C"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391C3F65" w14:textId="77777777">
        <w:tc>
          <w:tcPr>
            <w:tcW w:w="9576" w:type="dxa"/>
            <w:gridSpan w:val="8"/>
          </w:tcPr>
          <w:p w14:paraId="7B4C4C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0EE4D440" w14:textId="77777777">
        <w:tc>
          <w:tcPr>
            <w:tcW w:w="1998" w:type="dxa"/>
          </w:tcPr>
          <w:p w14:paraId="0BB8EB39"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tcPr>
          <w:p w14:paraId="5024A1E7"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tcPr>
          <w:p w14:paraId="2863FD9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tcPr>
          <w:p w14:paraId="1F04B8E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tcPr>
          <w:p w14:paraId="1335C24C"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tcPr>
          <w:p w14:paraId="106B8B5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tcPr>
          <w:p w14:paraId="08CC74A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tcPr>
          <w:p w14:paraId="26A2DB9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50CE216B"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55A86BCE" w14:textId="77777777">
        <w:tc>
          <w:tcPr>
            <w:tcW w:w="1998" w:type="dxa"/>
          </w:tcPr>
          <w:p w14:paraId="7BAF4E9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tcPr>
          <w:p w14:paraId="0F66478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tcPr>
          <w:p w14:paraId="61D1DB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AD074D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3A1EBBD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817E9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tcPr>
          <w:p w14:paraId="5861581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297DAED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r>
      <w:tr w:rsidR="0041126D" w:rsidRPr="004D40EA" w14:paraId="5921E2F9" w14:textId="77777777">
        <w:tc>
          <w:tcPr>
            <w:tcW w:w="1998" w:type="dxa"/>
          </w:tcPr>
          <w:p w14:paraId="393C9C8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tcPr>
          <w:p w14:paraId="654E711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tcPr>
          <w:p w14:paraId="0D563F9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0D2B72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EC96CE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064691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7203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5934C978"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23DF313" w14:textId="77777777">
        <w:tc>
          <w:tcPr>
            <w:tcW w:w="1998" w:type="dxa"/>
          </w:tcPr>
          <w:p w14:paraId="040D574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tcPr>
          <w:p w14:paraId="0ED9289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3BF5EEE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64DA34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22187D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20841EB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.80</w:t>
            </w:r>
          </w:p>
        </w:tc>
        <w:tc>
          <w:tcPr>
            <w:tcW w:w="360" w:type="dxa"/>
          </w:tcPr>
          <w:p w14:paraId="079A5AC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798212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w:t>
            </w:r>
          </w:p>
        </w:tc>
      </w:tr>
      <w:tr w:rsidR="0041126D" w:rsidRPr="004D40EA" w14:paraId="46A47CCD" w14:textId="77777777">
        <w:tc>
          <w:tcPr>
            <w:tcW w:w="1998" w:type="dxa"/>
          </w:tcPr>
          <w:p w14:paraId="0DA2E21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tcPr>
          <w:p w14:paraId="3CC768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tcPr>
          <w:p w14:paraId="4903339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1ADF8C3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0D13CC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B8E1B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25C09AF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6906D84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3.81</w:t>
            </w:r>
          </w:p>
        </w:tc>
      </w:tr>
      <w:tr w:rsidR="0041126D" w:rsidRPr="004D40EA" w14:paraId="7EA6C84E" w14:textId="77777777">
        <w:tc>
          <w:tcPr>
            <w:tcW w:w="1998" w:type="dxa"/>
          </w:tcPr>
          <w:p w14:paraId="2F54B03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tcPr>
          <w:p w14:paraId="5EF935D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tcPr>
          <w:p w14:paraId="1992C5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2EB1B3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7244CF3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4CDBBB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73A6E3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64612A7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2.65</w:t>
            </w:r>
          </w:p>
        </w:tc>
      </w:tr>
      <w:tr w:rsidR="0041126D" w:rsidRPr="004D40EA" w14:paraId="331791B0" w14:textId="77777777">
        <w:tc>
          <w:tcPr>
            <w:tcW w:w="1998" w:type="dxa"/>
          </w:tcPr>
          <w:p w14:paraId="5F5F57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tcPr>
          <w:p w14:paraId="67AF19A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tcPr>
          <w:p w14:paraId="437752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3A0877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5078CDF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5828DB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3C8391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1E72BF0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2.17</w:t>
            </w:r>
          </w:p>
        </w:tc>
      </w:tr>
      <w:tr w:rsidR="0041126D" w:rsidRPr="004D40EA" w14:paraId="58FBCD18" w14:textId="77777777">
        <w:tc>
          <w:tcPr>
            <w:tcW w:w="1998" w:type="dxa"/>
          </w:tcPr>
          <w:p w14:paraId="2A3CE97A" w14:textId="77777777" w:rsidR="0041126D" w:rsidRPr="004D40EA" w:rsidRDefault="0041126D">
            <w:pPr>
              <w:spacing w:after="0" w:line="240" w:lineRule="auto"/>
              <w:contextualSpacing/>
              <w:jc w:val="center"/>
              <w:rPr>
                <w:rFonts w:ascii="Avenir Next LT Pro" w:hAnsi="Avenir Next LT Pro"/>
                <w:sz w:val="20"/>
                <w:szCs w:val="20"/>
              </w:rPr>
            </w:pPr>
            <w:bookmarkStart w:id="40" w:name="_Hlk49258574"/>
            <w:r w:rsidRPr="004D40EA">
              <w:rPr>
                <w:rFonts w:ascii="Avenir Next LT Pro" w:hAnsi="Avenir Next LT Pro"/>
                <w:sz w:val="20"/>
                <w:szCs w:val="20"/>
              </w:rPr>
              <w:t>AT</w:t>
            </w:r>
          </w:p>
        </w:tc>
        <w:tc>
          <w:tcPr>
            <w:tcW w:w="1710" w:type="dxa"/>
          </w:tcPr>
          <w:p w14:paraId="7DD5AD4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tcPr>
          <w:p w14:paraId="09668E3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3E697CD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FE7F1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302191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12E1978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737E8D33" w14:textId="77777777" w:rsidR="0041126D" w:rsidRPr="004D40EA" w:rsidRDefault="0041126D">
            <w:pPr>
              <w:spacing w:after="0" w:line="240" w:lineRule="auto"/>
              <w:contextualSpacing/>
              <w:jc w:val="center"/>
              <w:rPr>
                <w:rFonts w:ascii="Avenir Next LT Pro" w:hAnsi="Avenir Next LT Pro"/>
                <w:sz w:val="20"/>
                <w:szCs w:val="20"/>
              </w:rPr>
            </w:pPr>
          </w:p>
        </w:tc>
      </w:tr>
      <w:bookmarkEnd w:id="40"/>
      <w:tr w:rsidR="0041126D" w:rsidRPr="004D40EA" w14:paraId="236A616B" w14:textId="77777777">
        <w:tc>
          <w:tcPr>
            <w:tcW w:w="4068" w:type="dxa"/>
            <w:gridSpan w:val="3"/>
          </w:tcPr>
          <w:p w14:paraId="4EF7FD64"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tcPr>
          <w:p w14:paraId="1AC0BFD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135</w:t>
            </w:r>
          </w:p>
        </w:tc>
        <w:tc>
          <w:tcPr>
            <w:tcW w:w="2340" w:type="dxa"/>
            <w:gridSpan w:val="3"/>
          </w:tcPr>
          <w:p w14:paraId="6F8C8520"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tcPr>
          <w:p w14:paraId="7CDC1DA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60.63</w:t>
            </w:r>
          </w:p>
        </w:tc>
      </w:tr>
    </w:tbl>
    <w:p w14:paraId="4327FFF1"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41E96F22" w14:textId="77777777">
        <w:tc>
          <w:tcPr>
            <w:tcW w:w="9576" w:type="dxa"/>
            <w:gridSpan w:val="8"/>
          </w:tcPr>
          <w:p w14:paraId="709291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373A07C5" w14:textId="77777777">
        <w:tc>
          <w:tcPr>
            <w:tcW w:w="1998" w:type="dxa"/>
          </w:tcPr>
          <w:p w14:paraId="3359344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tcPr>
          <w:p w14:paraId="003697B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tcPr>
          <w:p w14:paraId="4966920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tcPr>
          <w:p w14:paraId="7EFE0FBB"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tcPr>
          <w:p w14:paraId="73AE6FB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tcPr>
          <w:p w14:paraId="05FFD5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tcPr>
          <w:p w14:paraId="42B8421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tcPr>
          <w:p w14:paraId="31CBC17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70CB02DF"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11850D4B" w14:textId="77777777">
        <w:tc>
          <w:tcPr>
            <w:tcW w:w="1998" w:type="dxa"/>
          </w:tcPr>
          <w:p w14:paraId="4848D3A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tcPr>
          <w:p w14:paraId="2CEB90C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tcPr>
          <w:p w14:paraId="641DA1C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FD3D1F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tcPr>
          <w:p w14:paraId="5C2BC56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641E3B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tcPr>
          <w:p w14:paraId="78CA3D7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1A427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50 </w:t>
            </w:r>
          </w:p>
        </w:tc>
      </w:tr>
      <w:tr w:rsidR="0041126D" w:rsidRPr="004D40EA" w14:paraId="76F139DF" w14:textId="77777777">
        <w:tc>
          <w:tcPr>
            <w:tcW w:w="1998" w:type="dxa"/>
          </w:tcPr>
          <w:p w14:paraId="385BB8E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tcPr>
          <w:p w14:paraId="31D281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tcPr>
          <w:p w14:paraId="73B098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8C89B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230361C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3CB2A6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34263E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3A33F956"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70F8161C" w14:textId="77777777">
        <w:tc>
          <w:tcPr>
            <w:tcW w:w="1998" w:type="dxa"/>
          </w:tcPr>
          <w:p w14:paraId="1F4613D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tcPr>
          <w:p w14:paraId="5E74652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3258F2D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1968F70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tcPr>
          <w:p w14:paraId="6AD88D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0AABB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.20</w:t>
            </w:r>
          </w:p>
        </w:tc>
        <w:tc>
          <w:tcPr>
            <w:tcW w:w="360" w:type="dxa"/>
          </w:tcPr>
          <w:p w14:paraId="00D88A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E33B6C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 </w:t>
            </w:r>
          </w:p>
        </w:tc>
      </w:tr>
      <w:tr w:rsidR="0041126D" w:rsidRPr="004D40EA" w14:paraId="4B86B02D" w14:textId="77777777">
        <w:tc>
          <w:tcPr>
            <w:tcW w:w="1998" w:type="dxa"/>
          </w:tcPr>
          <w:p w14:paraId="787514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tcPr>
          <w:p w14:paraId="3E9C04E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tcPr>
          <w:p w14:paraId="02745A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44B13E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5EB9C6B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180A733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63F2D9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767D99EA"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21D9C0E" w14:textId="77777777">
        <w:tc>
          <w:tcPr>
            <w:tcW w:w="1998" w:type="dxa"/>
          </w:tcPr>
          <w:p w14:paraId="0921861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tcPr>
          <w:p w14:paraId="6621EEB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tcPr>
          <w:p w14:paraId="3ED055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59719ED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76E83F8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46DAF81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596B50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0505FF3E"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9395AF1" w14:textId="77777777">
        <w:tc>
          <w:tcPr>
            <w:tcW w:w="1998" w:type="dxa"/>
          </w:tcPr>
          <w:p w14:paraId="54F8973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tcPr>
          <w:p w14:paraId="5FCDA91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tcPr>
          <w:p w14:paraId="6FDCB3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00D4395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tcPr>
          <w:p w14:paraId="68A8C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2D3116E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4F4942D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895E32F"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B6413F4" w14:textId="77777777">
        <w:tc>
          <w:tcPr>
            <w:tcW w:w="1998" w:type="dxa"/>
          </w:tcPr>
          <w:p w14:paraId="6862935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AT</w:t>
            </w:r>
          </w:p>
        </w:tc>
        <w:tc>
          <w:tcPr>
            <w:tcW w:w="1710" w:type="dxa"/>
          </w:tcPr>
          <w:p w14:paraId="28BC19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tcPr>
          <w:p w14:paraId="5318C48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tcPr>
          <w:p w14:paraId="78388EF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2CD07ED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tcPr>
          <w:p w14:paraId="559F602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tcPr>
          <w:p w14:paraId="5E3905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tcPr>
          <w:p w14:paraId="4C93C11B"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1FEB013" w14:textId="77777777">
        <w:tc>
          <w:tcPr>
            <w:tcW w:w="4068" w:type="dxa"/>
            <w:gridSpan w:val="3"/>
          </w:tcPr>
          <w:p w14:paraId="295E6E1B"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tcPr>
          <w:p w14:paraId="26B2BBF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105</w:t>
            </w:r>
          </w:p>
        </w:tc>
        <w:tc>
          <w:tcPr>
            <w:tcW w:w="2340" w:type="dxa"/>
            <w:gridSpan w:val="3"/>
          </w:tcPr>
          <w:p w14:paraId="31E157AF"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tcPr>
          <w:p w14:paraId="2CED987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50.5</w:t>
            </w:r>
          </w:p>
        </w:tc>
      </w:tr>
    </w:tbl>
    <w:p w14:paraId="12B58E24" w14:textId="77777777" w:rsidR="0041126D" w:rsidRPr="004D40EA" w:rsidRDefault="0041126D" w:rsidP="0041126D">
      <w:pPr>
        <w:spacing w:after="0" w:line="240" w:lineRule="auto"/>
        <w:contextualSpacing/>
        <w:rPr>
          <w:rFonts w:ascii="Avenir Next LT Pro" w:hAnsi="Avenir Next LT Pro"/>
          <w:b/>
          <w:sz w:val="20"/>
          <w:szCs w:val="20"/>
        </w:rPr>
      </w:pPr>
    </w:p>
    <w:p w14:paraId="5A1AA84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on the MSY Tab</w:t>
      </w:r>
    </w:p>
    <w:p w14:paraId="4BB5DA1F" w14:textId="77777777" w:rsidR="0041126D" w:rsidRPr="004D40EA" w:rsidRDefault="0041126D" w:rsidP="0041126D">
      <w:pPr>
        <w:spacing w:after="0" w:line="240" w:lineRule="auto"/>
        <w:contextualSpacing/>
        <w:rPr>
          <w:rFonts w:ascii="Avenir Next LT Pro" w:hAnsi="Avenir Next LT Pro"/>
          <w:sz w:val="20"/>
          <w:szCs w:val="20"/>
        </w:rPr>
      </w:pPr>
    </w:p>
    <w:p w14:paraId="1A7DB18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 program enters the total number of MSYs and members for each objective on the MSY/Members tab of the performance measures module.  The system automatically calculates the percentage of MSYs allocated to each objective.</w:t>
      </w:r>
    </w:p>
    <w:p w14:paraId="6311435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noProof/>
          <w:sz w:val="20"/>
          <w:szCs w:val="20"/>
        </w:rPr>
        <w:lastRenderedPageBreak/>
        <w:drawing>
          <wp:inline distT="0" distB="0" distL="0" distR="0" wp14:anchorId="0252B980" wp14:editId="6BE2A45A">
            <wp:extent cx="594360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85147A2" w14:textId="77777777" w:rsidR="0041126D" w:rsidRPr="004D40EA" w:rsidRDefault="0041126D" w:rsidP="0041126D">
      <w:pPr>
        <w:spacing w:after="0" w:line="240" w:lineRule="auto"/>
        <w:contextualSpacing/>
        <w:rPr>
          <w:rFonts w:ascii="Avenir Next LT Pro" w:hAnsi="Avenir Next LT Pro"/>
          <w:sz w:val="20"/>
          <w:szCs w:val="20"/>
        </w:rPr>
      </w:pPr>
    </w:p>
    <w:p w14:paraId="5135E253" w14:textId="77777777" w:rsidR="0041126D" w:rsidRPr="004D40EA" w:rsidRDefault="0041126D" w:rsidP="0041126D">
      <w:pPr>
        <w:spacing w:after="0" w:line="240" w:lineRule="auto"/>
        <w:contextualSpacing/>
        <w:rPr>
          <w:rFonts w:ascii="Avenir Next LT Pro" w:hAnsi="Avenir Next LT Pro"/>
          <w:i/>
          <w:sz w:val="20"/>
          <w:szCs w:val="20"/>
        </w:rPr>
      </w:pPr>
      <w:r w:rsidRPr="004D40EA">
        <w:rPr>
          <w:rFonts w:ascii="Avenir Next LT Pro" w:hAnsi="Avenir Next LT Pro"/>
          <w:i/>
          <w:sz w:val="20"/>
          <w:szCs w:val="20"/>
        </w:rPr>
        <w:t>Note: Programs that select the Find Opportunity objective (Economic Opportunity Focus Area) or the Teacher Corps objective (Education Focus Area) must enter 0 MSYs and members for these objectives and allocate their MSYs to other objectives.  This is because the MSY allocations are designed to show how programs’ resources are allocated to activities that benefit the community.  The Find Opportunity and Teacher Corps objectives are focused on benefits to members.</w:t>
      </w:r>
    </w:p>
    <w:p w14:paraId="1B386724" w14:textId="77777777" w:rsidR="0041126D" w:rsidRPr="004D40EA" w:rsidRDefault="0041126D" w:rsidP="0041126D">
      <w:pPr>
        <w:spacing w:after="0" w:line="240" w:lineRule="auto"/>
        <w:contextualSpacing/>
        <w:rPr>
          <w:rFonts w:ascii="Avenir Next LT Pro" w:hAnsi="Avenir Next LT Pro"/>
          <w:b/>
          <w:sz w:val="20"/>
          <w:szCs w:val="20"/>
        </w:rPr>
      </w:pPr>
    </w:p>
    <w:p w14:paraId="5DD99383"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EFCF4B5" w14:textId="77777777" w:rsidR="0041126D" w:rsidRPr="004D40EA" w:rsidRDefault="0041126D" w:rsidP="0041126D">
      <w:pPr>
        <w:spacing w:after="0" w:line="240" w:lineRule="auto"/>
        <w:contextualSpacing/>
        <w:rPr>
          <w:rFonts w:ascii="Avenir Next LT Pro" w:hAnsi="Avenir Next LT Pro"/>
          <w:sz w:val="20"/>
          <w:szCs w:val="20"/>
        </w:rPr>
      </w:pPr>
    </w:p>
    <w:p w14:paraId="4944C81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1 and its corresponding pie chart show the total number of MSYs by Focus Area.  Since both the K-12 Success and School Readiness objectives are in the Education Focus Area, Table 1 shows 100% of MSYs in Education.</w:t>
      </w:r>
    </w:p>
    <w:p w14:paraId="6EBC78B6"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drawing>
          <wp:inline distT="0" distB="0" distL="0" distR="0" wp14:anchorId="1AFAC5EC" wp14:editId="2187BCBD">
            <wp:extent cx="3743960" cy="272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960" cy="2720975"/>
                    </a:xfrm>
                    <a:prstGeom prst="rect">
                      <a:avLst/>
                    </a:prstGeom>
                    <a:noFill/>
                    <a:ln>
                      <a:noFill/>
                    </a:ln>
                  </pic:spPr>
                </pic:pic>
              </a:graphicData>
            </a:graphic>
          </wp:inline>
        </w:drawing>
      </w:r>
    </w:p>
    <w:p w14:paraId="4F6FC8F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r w:rsidRPr="004D40EA">
        <w:rPr>
          <w:rFonts w:ascii="Avenir Next LT Pro" w:hAnsi="Avenir Next LT Pro"/>
          <w:sz w:val="20"/>
          <w:szCs w:val="20"/>
        </w:rPr>
        <w:lastRenderedPageBreak/>
        <w:t>Table 4 in the PDF report shows the number of MSYs and members allocated to each objective, as seen on the MSY/Members tab:</w:t>
      </w:r>
    </w:p>
    <w:p w14:paraId="0E7D8679" w14:textId="77777777" w:rsidR="0041126D" w:rsidRPr="004D40EA" w:rsidRDefault="0041126D" w:rsidP="0041126D">
      <w:pPr>
        <w:spacing w:after="0" w:line="240" w:lineRule="auto"/>
        <w:contextualSpacing/>
        <w:rPr>
          <w:rFonts w:ascii="Avenir Next LT Pro" w:hAnsi="Avenir Next LT Pro"/>
          <w:sz w:val="20"/>
          <w:szCs w:val="20"/>
        </w:rPr>
      </w:pPr>
    </w:p>
    <w:p w14:paraId="009C822A"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6F605581" wp14:editId="5DBD3491">
            <wp:extent cx="5368925" cy="170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925" cy="1708150"/>
                    </a:xfrm>
                    <a:prstGeom prst="rect">
                      <a:avLst/>
                    </a:prstGeom>
                    <a:noFill/>
                    <a:ln>
                      <a:noFill/>
                    </a:ln>
                  </pic:spPr>
                </pic:pic>
              </a:graphicData>
            </a:graphic>
          </wp:inline>
        </w:drawing>
      </w:r>
    </w:p>
    <w:p w14:paraId="0F3A2D33"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Because some members are performing service related to both K-12 Success and School Readiness, the total number of members listed in this table (240) is greater than the total number of slots the program is requesting (135).  This is OK; individual members can be counted more than once if they contribute to more than one objective.  In contrast, MSYs cannot be counted more than once, because they represent the amount of member time spent on a particular objective.  As a result, the total number of MSYs listed in this table must be equal to the total MSYs the program is requesting (111.13).</w:t>
      </w:r>
    </w:p>
    <w:p w14:paraId="45E4A9E3" w14:textId="77777777" w:rsidR="0041126D" w:rsidRPr="004D40EA" w:rsidRDefault="0041126D" w:rsidP="0041126D">
      <w:pPr>
        <w:spacing w:after="0" w:line="240" w:lineRule="auto"/>
        <w:contextualSpacing/>
        <w:rPr>
          <w:rFonts w:ascii="Avenir Next LT Pro" w:hAnsi="Avenir Next LT Pro"/>
          <w:sz w:val="20"/>
          <w:szCs w:val="20"/>
        </w:rPr>
      </w:pPr>
    </w:p>
    <w:p w14:paraId="70563CD2"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2 and its corresponding pie chart show the same MSY information expressed as percentages of the total MSYs:</w:t>
      </w:r>
    </w:p>
    <w:p w14:paraId="3768343C"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3E967E82" wp14:editId="2E802748">
            <wp:extent cx="3651250" cy="3088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1250" cy="3088005"/>
                    </a:xfrm>
                    <a:prstGeom prst="rect">
                      <a:avLst/>
                    </a:prstGeom>
                    <a:noFill/>
                    <a:ln>
                      <a:noFill/>
                    </a:ln>
                  </pic:spPr>
                </pic:pic>
              </a:graphicData>
            </a:graphic>
          </wp:inline>
        </w:drawing>
      </w:r>
    </w:p>
    <w:p w14:paraId="33A8A3A9"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Assign MSYs to Performance Measures</w:t>
      </w:r>
    </w:p>
    <w:p w14:paraId="679B5745" w14:textId="77777777" w:rsidR="0041126D" w:rsidRPr="004D40EA" w:rsidRDefault="0041126D" w:rsidP="0041126D">
      <w:pPr>
        <w:spacing w:after="0" w:line="240" w:lineRule="auto"/>
        <w:contextualSpacing/>
        <w:rPr>
          <w:rFonts w:ascii="Avenir Next LT Pro" w:hAnsi="Avenir Next LT Pro"/>
          <w:b/>
          <w:sz w:val="20"/>
          <w:szCs w:val="20"/>
        </w:rPr>
      </w:pPr>
    </w:p>
    <w:p w14:paraId="4D6FD9D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When a program creates a performance measure, it must indicate how many MSYs and how many members will contribute to the measure.  Based on the MSY allocations already entered for the sample program, the program may allocate up to 60.63 MSYs to K-12 Success performance measures and up to 50.5 MSYs to School Readiness performance measures.  However, programs are not required to measure all of their activities, so it is possible that not all of these MSYs will be allocated to performance measures.  </w:t>
      </w:r>
    </w:p>
    <w:p w14:paraId="5704FCE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p>
    <w:p w14:paraId="7566DDB1"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Our sample program has three performance measures, one (an aligned measure) under the K-12 Success objective and two (an output-only measure and an applicant determined measure) under the School Readiness objective.  </w:t>
      </w:r>
    </w:p>
    <w:p w14:paraId="0653BCDA"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461"/>
        <w:gridCol w:w="2322"/>
        <w:gridCol w:w="270"/>
        <w:gridCol w:w="1350"/>
        <w:gridCol w:w="360"/>
        <w:gridCol w:w="1710"/>
      </w:tblGrid>
      <w:tr w:rsidR="0041126D" w:rsidRPr="004D40EA" w14:paraId="419C7720" w14:textId="77777777">
        <w:tc>
          <w:tcPr>
            <w:tcW w:w="9378" w:type="dxa"/>
            <w:gridSpan w:val="7"/>
          </w:tcPr>
          <w:p w14:paraId="558099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1558E02C" w14:textId="77777777">
        <w:tc>
          <w:tcPr>
            <w:tcW w:w="1905" w:type="dxa"/>
          </w:tcPr>
          <w:p w14:paraId="2A92E26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61" w:type="dxa"/>
          </w:tcPr>
          <w:p w14:paraId="6004C38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tcPr>
          <w:p w14:paraId="31CE667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K-12 Success Time Spent on Activities that Contribute to this Measure</w:t>
            </w:r>
          </w:p>
        </w:tc>
        <w:tc>
          <w:tcPr>
            <w:tcW w:w="270" w:type="dxa"/>
          </w:tcPr>
          <w:p w14:paraId="563DBB3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tcPr>
          <w:p w14:paraId="1943507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tcPr>
          <w:p w14:paraId="4671F2B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tcPr>
          <w:p w14:paraId="1C7A27E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89F78" w14:textId="77777777">
        <w:tc>
          <w:tcPr>
            <w:tcW w:w="1905" w:type="dxa"/>
          </w:tcPr>
          <w:p w14:paraId="0D9CA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tc>
        <w:tc>
          <w:tcPr>
            <w:tcW w:w="1461" w:type="dxa"/>
          </w:tcPr>
          <w:p w14:paraId="4ECC5B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ED27C</w:t>
            </w:r>
          </w:p>
        </w:tc>
        <w:tc>
          <w:tcPr>
            <w:tcW w:w="2322" w:type="dxa"/>
          </w:tcPr>
          <w:p w14:paraId="10D15A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tcPr>
          <w:p w14:paraId="4A956B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61555E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tcPr>
          <w:p w14:paraId="231A3C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407F2C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45.47</w:t>
            </w:r>
          </w:p>
        </w:tc>
      </w:tr>
      <w:tr w:rsidR="0041126D" w:rsidRPr="004D40EA" w14:paraId="0A683A9A" w14:textId="77777777">
        <w:tc>
          <w:tcPr>
            <w:tcW w:w="1905" w:type="dxa"/>
          </w:tcPr>
          <w:p w14:paraId="509AAE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tc>
        <w:tc>
          <w:tcPr>
            <w:tcW w:w="1461" w:type="dxa"/>
          </w:tcPr>
          <w:p w14:paraId="592F457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No Performance Measure</w:t>
            </w:r>
          </w:p>
        </w:tc>
        <w:tc>
          <w:tcPr>
            <w:tcW w:w="2322" w:type="dxa"/>
          </w:tcPr>
          <w:p w14:paraId="058872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tcPr>
          <w:p w14:paraId="5E9B4A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067A1E4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tcPr>
          <w:p w14:paraId="15E879E3" w14:textId="77777777" w:rsidR="0041126D" w:rsidRPr="004D40EA" w:rsidRDefault="0041126D">
            <w:pPr>
              <w:spacing w:after="0" w:line="240" w:lineRule="auto"/>
              <w:contextualSpacing/>
              <w:rPr>
                <w:rFonts w:ascii="Avenir Next LT Pro" w:hAnsi="Avenir Next LT Pro"/>
                <w:sz w:val="20"/>
                <w:szCs w:val="20"/>
              </w:rPr>
            </w:pPr>
          </w:p>
        </w:tc>
        <w:tc>
          <w:tcPr>
            <w:tcW w:w="1710" w:type="dxa"/>
          </w:tcPr>
          <w:p w14:paraId="1298C91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B9CC9F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*This is the primary intervention</w:t>
      </w:r>
    </w:p>
    <w:p w14:paraId="28FDB08D" w14:textId="77777777" w:rsidR="0041126D" w:rsidRPr="004D40EA" w:rsidRDefault="0041126D" w:rsidP="0041126D">
      <w:pPr>
        <w:spacing w:after="0" w:line="240" w:lineRule="auto"/>
        <w:contextualSpacing/>
        <w:rPr>
          <w:rFonts w:ascii="Avenir Next LT Pro" w:hAnsi="Avenir Next LT Pro"/>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58"/>
        <w:gridCol w:w="2322"/>
        <w:gridCol w:w="270"/>
        <w:gridCol w:w="1350"/>
        <w:gridCol w:w="360"/>
        <w:gridCol w:w="1710"/>
      </w:tblGrid>
      <w:tr w:rsidR="0041126D" w:rsidRPr="004D40EA" w14:paraId="46B550F1" w14:textId="77777777">
        <w:tc>
          <w:tcPr>
            <w:tcW w:w="9378" w:type="dxa"/>
            <w:gridSpan w:val="7"/>
          </w:tcPr>
          <w:p w14:paraId="276AC93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0E7F949B" w14:textId="77777777">
        <w:tc>
          <w:tcPr>
            <w:tcW w:w="1908" w:type="dxa"/>
          </w:tcPr>
          <w:p w14:paraId="34EEF5D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58" w:type="dxa"/>
          </w:tcPr>
          <w:p w14:paraId="4E5AB74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tcPr>
          <w:p w14:paraId="093563F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School Readiness Time Spent on Activities that Contribute to this Measure</w:t>
            </w:r>
          </w:p>
        </w:tc>
        <w:tc>
          <w:tcPr>
            <w:tcW w:w="270" w:type="dxa"/>
          </w:tcPr>
          <w:p w14:paraId="6049311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tcPr>
          <w:p w14:paraId="72EDB6F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tcPr>
          <w:p w14:paraId="249214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tcPr>
          <w:p w14:paraId="13285C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671E5" w14:textId="77777777">
        <w:tc>
          <w:tcPr>
            <w:tcW w:w="1908" w:type="dxa"/>
          </w:tcPr>
          <w:p w14:paraId="4F74BD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tc>
        <w:tc>
          <w:tcPr>
            <w:tcW w:w="1458" w:type="dxa"/>
          </w:tcPr>
          <w:p w14:paraId="4C9B69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w:t>
            </w:r>
          </w:p>
        </w:tc>
        <w:tc>
          <w:tcPr>
            <w:tcW w:w="2322" w:type="dxa"/>
          </w:tcPr>
          <w:p w14:paraId="0121E36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tcPr>
          <w:p w14:paraId="0C1E3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7F063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tcPr>
          <w:p w14:paraId="2DAF7E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40A0897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37.88</w:t>
            </w:r>
          </w:p>
        </w:tc>
      </w:tr>
      <w:tr w:rsidR="0041126D" w:rsidRPr="004D40EA" w14:paraId="2B84EBAF" w14:textId="77777777">
        <w:tc>
          <w:tcPr>
            <w:tcW w:w="1908" w:type="dxa"/>
          </w:tcPr>
          <w:p w14:paraId="7D0C4B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Parent Engagement</w:t>
            </w:r>
          </w:p>
        </w:tc>
        <w:tc>
          <w:tcPr>
            <w:tcW w:w="1458" w:type="dxa"/>
          </w:tcPr>
          <w:p w14:paraId="5BCAFA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 Measure</w:t>
            </w:r>
          </w:p>
        </w:tc>
        <w:tc>
          <w:tcPr>
            <w:tcW w:w="2322" w:type="dxa"/>
          </w:tcPr>
          <w:p w14:paraId="14EC7A1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tcPr>
          <w:p w14:paraId="4F13E9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tcPr>
          <w:p w14:paraId="49F90D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tcPr>
          <w:p w14:paraId="7283398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tcPr>
          <w:p w14:paraId="2F42AA1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12.62</w:t>
            </w:r>
          </w:p>
        </w:tc>
      </w:tr>
    </w:tbl>
    <w:p w14:paraId="2552678D" w14:textId="77777777" w:rsidR="0041126D" w:rsidRPr="004D40EA" w:rsidRDefault="0041126D" w:rsidP="0041126D">
      <w:pPr>
        <w:spacing w:after="0" w:line="240" w:lineRule="auto"/>
        <w:contextualSpacing/>
        <w:rPr>
          <w:rFonts w:ascii="Avenir Next LT Pro" w:hAnsi="Avenir Next LT Pro"/>
          <w:sz w:val="20"/>
          <w:szCs w:val="20"/>
        </w:rPr>
      </w:pPr>
    </w:p>
    <w:p w14:paraId="655B50E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B3CA9F3" w14:textId="77777777" w:rsidR="0041126D" w:rsidRPr="004D40EA" w:rsidRDefault="0041126D" w:rsidP="0041126D">
      <w:pPr>
        <w:spacing w:after="0" w:line="240" w:lineRule="auto"/>
        <w:contextualSpacing/>
        <w:rPr>
          <w:rFonts w:ascii="Avenir Next LT Pro" w:hAnsi="Avenir Next LT Pro"/>
          <w:sz w:val="20"/>
          <w:szCs w:val="20"/>
        </w:rPr>
      </w:pPr>
    </w:p>
    <w:p w14:paraId="6150DA4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3 and its corresponding pie chart in the 424 PDF report shows the percentage of MSYs allocated to National Performance Measures, applicant-determined performance measures, or no performance measures.  As seen in the table above, the program has two National Performance Measures (ED1A/27C and ED1A), accounting for 83.35 of the 111.13 total MSYs (75%).  The program has one applicant-determined measure accounting for 12.62 MSYs (11%), and the remaining percentage (14%) of program activity is not being measured.</w:t>
      </w:r>
    </w:p>
    <w:p w14:paraId="75D260CE"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lastRenderedPageBreak/>
        <w:drawing>
          <wp:inline distT="0" distB="0" distL="0" distR="0" wp14:anchorId="056FB7C5" wp14:editId="29E9C667">
            <wp:extent cx="3956050" cy="2572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0" cy="2572385"/>
                    </a:xfrm>
                    <a:prstGeom prst="rect">
                      <a:avLst/>
                    </a:prstGeom>
                    <a:noFill/>
                    <a:ln>
                      <a:noFill/>
                    </a:ln>
                  </pic:spPr>
                </pic:pic>
              </a:graphicData>
            </a:graphic>
          </wp:inline>
        </w:drawing>
      </w:r>
    </w:p>
    <w:p w14:paraId="22D8B39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configuration above meets the AmeriCorps requirement to have one aligned performance measure (output + outcome) corresponding to the primary intervention.  Programs are not required to allocate 100% of their MSYs and members to National Performance Measures, or to any performance measures at all.  </w:t>
      </w:r>
    </w:p>
    <w:p w14:paraId="6E6DE83D" w14:textId="77777777" w:rsidR="0041126D" w:rsidRPr="004D40EA" w:rsidRDefault="0041126D" w:rsidP="0041126D">
      <w:pPr>
        <w:spacing w:after="0" w:line="240" w:lineRule="auto"/>
        <w:contextualSpacing/>
        <w:rPr>
          <w:rFonts w:ascii="Avenir Next LT Pro" w:hAnsi="Avenir Next LT Pro"/>
          <w:b/>
          <w:sz w:val="20"/>
          <w:szCs w:val="20"/>
        </w:rPr>
      </w:pPr>
    </w:p>
    <w:p w14:paraId="09736433" w14:textId="77777777" w:rsidR="0041126D" w:rsidRPr="004D40EA" w:rsidRDefault="0041126D" w:rsidP="0041126D">
      <w:pPr>
        <w:pStyle w:val="Style1"/>
        <w:outlineLvl w:val="0"/>
        <w:rPr>
          <w:rFonts w:ascii="Avenir Next LT Pro" w:hAnsi="Avenir Next LT Pro"/>
        </w:rPr>
      </w:pPr>
      <w:bookmarkStart w:id="41" w:name="AppendixB"/>
      <w:r w:rsidRPr="004D40EA">
        <w:rPr>
          <w:rFonts w:ascii="Avenir Next LT Pro" w:hAnsi="Avenir Next LT Pro"/>
        </w:rPr>
        <w:br w:type="page"/>
      </w:r>
      <w:bookmarkStart w:id="42" w:name="_Toc518377558"/>
      <w:r w:rsidRPr="004D40EA">
        <w:rPr>
          <w:rFonts w:ascii="Avenir Next LT Pro" w:hAnsi="Avenir Next LT Pro"/>
        </w:rPr>
        <w:lastRenderedPageBreak/>
        <w:t>Appendix B: Performance Measures Checklist</w:t>
      </w:r>
      <w:bookmarkEnd w:id="41"/>
      <w:bookmarkEnd w:id="42"/>
    </w:p>
    <w:p w14:paraId="2AD7ABB4" w14:textId="77777777" w:rsidR="0041126D" w:rsidRPr="004D40EA" w:rsidRDefault="0041126D" w:rsidP="0041126D">
      <w:pPr>
        <w:spacing w:after="0" w:line="240" w:lineRule="auto"/>
        <w:contextualSpacing/>
        <w:jc w:val="center"/>
        <w:rPr>
          <w:rFonts w:ascii="Avenir Next LT Pro" w:hAnsi="Avenir Next LT Pro"/>
          <w:b/>
          <w:sz w:val="20"/>
          <w:szCs w:val="20"/>
        </w:rPr>
      </w:pPr>
    </w:p>
    <w:p w14:paraId="2EE2F48E"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This checklist is used to assess performance measures during the review process.  Items on the checklist are common problems that require resolution but do not represent a comprehensive list.  Refer to the Performance Measure Instructions for full requirements.</w:t>
      </w:r>
    </w:p>
    <w:p w14:paraId="53CCAF18"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760"/>
        <w:gridCol w:w="1170"/>
        <w:gridCol w:w="1170"/>
        <w:gridCol w:w="1170"/>
      </w:tblGrid>
      <w:tr w:rsidR="0041126D" w:rsidRPr="004D40EA" w14:paraId="1917626A" w14:textId="77777777">
        <w:tc>
          <w:tcPr>
            <w:tcW w:w="6228" w:type="dxa"/>
            <w:gridSpan w:val="2"/>
          </w:tcPr>
          <w:p w14:paraId="6E661E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Checklist Item</w:t>
            </w:r>
          </w:p>
        </w:tc>
        <w:tc>
          <w:tcPr>
            <w:tcW w:w="1170" w:type="dxa"/>
          </w:tcPr>
          <w:p w14:paraId="5EB8C50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Primary Aligned Measure (required)</w:t>
            </w:r>
          </w:p>
        </w:tc>
        <w:tc>
          <w:tcPr>
            <w:tcW w:w="1170" w:type="dxa"/>
          </w:tcPr>
          <w:p w14:paraId="716BE26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52D88398"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c>
          <w:tcPr>
            <w:tcW w:w="1170" w:type="dxa"/>
          </w:tcPr>
          <w:p w14:paraId="573D4ED6"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660641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r>
      <w:tr w:rsidR="0041126D" w:rsidRPr="004D40EA" w14:paraId="4B3CDC1E" w14:textId="77777777">
        <w:tc>
          <w:tcPr>
            <w:tcW w:w="9738" w:type="dxa"/>
            <w:gridSpan w:val="5"/>
            <w:shd w:val="clear" w:color="auto" w:fill="BFBFBF"/>
          </w:tcPr>
          <w:p w14:paraId="3127498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Resource Allocation</w:t>
            </w:r>
          </w:p>
        </w:tc>
      </w:tr>
      <w:tr w:rsidR="0041126D" w:rsidRPr="004D40EA" w14:paraId="2F627045" w14:textId="77777777">
        <w:tc>
          <w:tcPr>
            <w:tcW w:w="468" w:type="dxa"/>
          </w:tcPr>
          <w:p w14:paraId="78D5527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w:t>
            </w:r>
          </w:p>
        </w:tc>
        <w:tc>
          <w:tcPr>
            <w:tcW w:w="5760" w:type="dxa"/>
          </w:tcPr>
          <w:p w14:paraId="2AC8E0A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focus areas and objectives are consistent with the application narrative/logic model.</w:t>
            </w:r>
          </w:p>
        </w:tc>
        <w:tc>
          <w:tcPr>
            <w:tcW w:w="3510" w:type="dxa"/>
            <w:gridSpan w:val="3"/>
          </w:tcPr>
          <w:p w14:paraId="775FC05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9B7954A" w14:textId="77777777">
        <w:tc>
          <w:tcPr>
            <w:tcW w:w="468" w:type="dxa"/>
          </w:tcPr>
          <w:p w14:paraId="6E79D66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2</w:t>
            </w:r>
          </w:p>
        </w:tc>
        <w:tc>
          <w:tcPr>
            <w:tcW w:w="5760" w:type="dxa"/>
          </w:tcPr>
          <w:p w14:paraId="532388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performance measures are consistent with the application narrative/logic model.</w:t>
            </w:r>
          </w:p>
        </w:tc>
        <w:tc>
          <w:tcPr>
            <w:tcW w:w="1170" w:type="dxa"/>
          </w:tcPr>
          <w:p w14:paraId="152782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7C5C3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8E9503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6912D04" w14:textId="77777777">
        <w:tc>
          <w:tcPr>
            <w:tcW w:w="9738" w:type="dxa"/>
            <w:gridSpan w:val="5"/>
            <w:shd w:val="clear" w:color="auto" w:fill="BFBFBF"/>
          </w:tcPr>
          <w:p w14:paraId="72E7180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Requirements</w:t>
            </w:r>
          </w:p>
        </w:tc>
      </w:tr>
      <w:tr w:rsidR="0041126D" w:rsidRPr="004D40EA" w14:paraId="3B2FCDE5" w14:textId="77777777">
        <w:tc>
          <w:tcPr>
            <w:tcW w:w="468" w:type="dxa"/>
          </w:tcPr>
          <w:p w14:paraId="2A78CB1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3</w:t>
            </w:r>
          </w:p>
        </w:tc>
        <w:tc>
          <w:tcPr>
            <w:tcW w:w="5760" w:type="dxa"/>
          </w:tcPr>
          <w:p w14:paraId="77142CF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includes least 1 aligned performance measure (output + outcome) corresponding to the primary intervention.</w:t>
            </w:r>
          </w:p>
        </w:tc>
        <w:tc>
          <w:tcPr>
            <w:tcW w:w="3510" w:type="dxa"/>
            <w:gridSpan w:val="3"/>
          </w:tcPr>
          <w:p w14:paraId="5C0EB48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43795D9" w14:textId="77777777">
        <w:tc>
          <w:tcPr>
            <w:tcW w:w="468" w:type="dxa"/>
          </w:tcPr>
          <w:p w14:paraId="33FAAEE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4</w:t>
            </w:r>
          </w:p>
        </w:tc>
        <w:tc>
          <w:tcPr>
            <w:tcW w:w="5760" w:type="dxa"/>
          </w:tcPr>
          <w:p w14:paraId="331465D4"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All performance measures reflect significant program activities whose outputs and outcomes are consistent with the applicant’s core theory of change.</w:t>
            </w:r>
          </w:p>
        </w:tc>
        <w:tc>
          <w:tcPr>
            <w:tcW w:w="1170" w:type="dxa"/>
          </w:tcPr>
          <w:p w14:paraId="3093394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B0A1D2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E0D6DB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216326C" w14:textId="77777777">
        <w:tc>
          <w:tcPr>
            <w:tcW w:w="468" w:type="dxa"/>
          </w:tcPr>
          <w:p w14:paraId="337C638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5</w:t>
            </w:r>
          </w:p>
        </w:tc>
        <w:tc>
          <w:tcPr>
            <w:tcW w:w="5760" w:type="dxa"/>
          </w:tcPr>
          <w:p w14:paraId="4601EBC8"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Any output-only measures included in the application consist solely of National Performance Measure outputs.</w:t>
            </w:r>
          </w:p>
        </w:tc>
        <w:tc>
          <w:tcPr>
            <w:tcW w:w="1170" w:type="dxa"/>
          </w:tcPr>
          <w:p w14:paraId="52BF4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E084DB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F9A6B6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5880222" w14:textId="77777777">
        <w:tc>
          <w:tcPr>
            <w:tcW w:w="468" w:type="dxa"/>
          </w:tcPr>
          <w:p w14:paraId="7899061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6</w:t>
            </w:r>
          </w:p>
        </w:tc>
        <w:tc>
          <w:tcPr>
            <w:tcW w:w="5760" w:type="dxa"/>
          </w:tcPr>
          <w:p w14:paraId="218C7F2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The application does not include applicant-determined measures that duplicate existing National Performance Measures. </w:t>
            </w:r>
            <w:r w:rsidRPr="004D40EA">
              <w:rPr>
                <w:rFonts w:ascii="Avenir Next LT Pro" w:hAnsi="Avenir Next LT Pro"/>
                <w:i/>
                <w:iCs/>
                <w:color w:val="000000"/>
                <w:sz w:val="20"/>
                <w:szCs w:val="20"/>
              </w:rPr>
              <w:t xml:space="preserve"> (Note: Applicant-determined measures are recognizable by the labels OUTPT or OUTCM, followed by numbers. Any applications containing these labels are NOT National Performance Measures, even if the applicant has labeled them like a national measure.)</w:t>
            </w:r>
          </w:p>
        </w:tc>
        <w:tc>
          <w:tcPr>
            <w:tcW w:w="1170" w:type="dxa"/>
          </w:tcPr>
          <w:p w14:paraId="25F77F8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2E4D9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067B49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3DD376EA" w14:textId="77777777">
        <w:tc>
          <w:tcPr>
            <w:tcW w:w="9738" w:type="dxa"/>
            <w:gridSpan w:val="5"/>
            <w:shd w:val="clear" w:color="auto" w:fill="BFBFBF"/>
          </w:tcPr>
          <w:p w14:paraId="2DC6C72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69F0588E" w14:textId="77777777">
        <w:tc>
          <w:tcPr>
            <w:tcW w:w="468" w:type="dxa"/>
          </w:tcPr>
          <w:p w14:paraId="7485D4F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7</w:t>
            </w:r>
          </w:p>
        </w:tc>
        <w:tc>
          <w:tcPr>
            <w:tcW w:w="5760" w:type="dxa"/>
          </w:tcPr>
          <w:p w14:paraId="4D48A98D"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Interventions are consistent with the program design and contribute directly to the outputs and outcomes.</w:t>
            </w:r>
          </w:p>
        </w:tc>
        <w:tc>
          <w:tcPr>
            <w:tcW w:w="1170" w:type="dxa"/>
          </w:tcPr>
          <w:p w14:paraId="779D76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ED970A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6C4E0C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A77751C" w14:textId="77777777">
        <w:tc>
          <w:tcPr>
            <w:tcW w:w="468" w:type="dxa"/>
          </w:tcPr>
          <w:p w14:paraId="4482421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8</w:t>
            </w:r>
          </w:p>
        </w:tc>
        <w:tc>
          <w:tcPr>
            <w:tcW w:w="5760" w:type="dxa"/>
          </w:tcPr>
          <w:p w14:paraId="542F160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user-defined intervention labels that duplicate existing system-defined intervention categories.</w:t>
            </w:r>
          </w:p>
        </w:tc>
        <w:tc>
          <w:tcPr>
            <w:tcW w:w="1170" w:type="dxa"/>
          </w:tcPr>
          <w:p w14:paraId="2D6D971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04A00D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20EBD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034AF99" w14:textId="77777777">
        <w:tc>
          <w:tcPr>
            <w:tcW w:w="9738" w:type="dxa"/>
            <w:gridSpan w:val="5"/>
            <w:shd w:val="clear" w:color="auto" w:fill="BFBFBF"/>
          </w:tcPr>
          <w:p w14:paraId="33D4A7C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Output Quality</w:t>
            </w:r>
          </w:p>
        </w:tc>
      </w:tr>
      <w:tr w:rsidR="0041126D" w:rsidRPr="004D40EA" w14:paraId="5F5F9A45" w14:textId="77777777">
        <w:tc>
          <w:tcPr>
            <w:tcW w:w="468" w:type="dxa"/>
          </w:tcPr>
          <w:p w14:paraId="0041263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9</w:t>
            </w:r>
          </w:p>
        </w:tc>
        <w:tc>
          <w:tcPr>
            <w:tcW w:w="5760" w:type="dxa"/>
          </w:tcPr>
          <w:p w14:paraId="5E632D0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clearly specify what is counted.</w:t>
            </w:r>
          </w:p>
        </w:tc>
        <w:tc>
          <w:tcPr>
            <w:tcW w:w="1170" w:type="dxa"/>
          </w:tcPr>
          <w:p w14:paraId="1DC4084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47D70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B5ED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112C1E0" w14:textId="77777777">
        <w:tc>
          <w:tcPr>
            <w:tcW w:w="468" w:type="dxa"/>
          </w:tcPr>
          <w:p w14:paraId="71AE415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10</w:t>
            </w:r>
          </w:p>
        </w:tc>
        <w:tc>
          <w:tcPr>
            <w:tcW w:w="5760" w:type="dxa"/>
          </w:tcPr>
          <w:p w14:paraId="450CFB72"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count only program beneficiaries, not National Service Participants.</w:t>
            </w:r>
          </w:p>
        </w:tc>
        <w:tc>
          <w:tcPr>
            <w:tcW w:w="1170" w:type="dxa"/>
          </w:tcPr>
          <w:p w14:paraId="1E172C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A185C7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39FB5E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F214B1B" w14:textId="77777777">
        <w:tc>
          <w:tcPr>
            <w:tcW w:w="9738" w:type="dxa"/>
            <w:gridSpan w:val="5"/>
            <w:shd w:val="clear" w:color="auto" w:fill="BFBFBF"/>
          </w:tcPr>
          <w:p w14:paraId="77A48F7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Outcome Quality and Alignment</w:t>
            </w:r>
          </w:p>
        </w:tc>
      </w:tr>
      <w:tr w:rsidR="0041126D" w:rsidRPr="004D40EA" w14:paraId="1AEFF2BD" w14:textId="77777777">
        <w:tc>
          <w:tcPr>
            <w:tcW w:w="468" w:type="dxa"/>
          </w:tcPr>
          <w:p w14:paraId="3B4B3A8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11</w:t>
            </w:r>
          </w:p>
        </w:tc>
        <w:tc>
          <w:tcPr>
            <w:tcW w:w="5760" w:type="dxa"/>
          </w:tcPr>
          <w:p w14:paraId="5011204A"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are logically aligned with the outputs.</w:t>
            </w:r>
          </w:p>
        </w:tc>
        <w:tc>
          <w:tcPr>
            <w:tcW w:w="1170" w:type="dxa"/>
          </w:tcPr>
          <w:p w14:paraId="3C10892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16A87F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EEDFC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48F276C" w14:textId="77777777">
        <w:tc>
          <w:tcPr>
            <w:tcW w:w="468" w:type="dxa"/>
          </w:tcPr>
          <w:p w14:paraId="023FEC7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12</w:t>
            </w:r>
          </w:p>
        </w:tc>
        <w:tc>
          <w:tcPr>
            <w:tcW w:w="5760" w:type="dxa"/>
          </w:tcPr>
          <w:p w14:paraId="695F66B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Outcomes reflect a meaningful change in knowledge, attitude, behavior or condition for program beneficiaries. </w:t>
            </w:r>
            <w:r w:rsidRPr="004D40EA">
              <w:rPr>
                <w:rFonts w:ascii="Avenir Next LT Pro" w:hAnsi="Avenir Next LT Pro"/>
                <w:i/>
                <w:iCs/>
                <w:color w:val="000000"/>
                <w:sz w:val="20"/>
                <w:szCs w:val="20"/>
              </w:rPr>
              <w:t>(Note: completion of a program would be considered an output, not an outcome.)</w:t>
            </w:r>
          </w:p>
        </w:tc>
        <w:tc>
          <w:tcPr>
            <w:tcW w:w="1170" w:type="dxa"/>
          </w:tcPr>
          <w:p w14:paraId="0BF4AAB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446015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4CAEAF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DDDB4CB" w14:textId="77777777">
        <w:tc>
          <w:tcPr>
            <w:tcW w:w="468" w:type="dxa"/>
          </w:tcPr>
          <w:p w14:paraId="62E8525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13</w:t>
            </w:r>
          </w:p>
        </w:tc>
        <w:tc>
          <w:tcPr>
            <w:tcW w:w="5760" w:type="dxa"/>
          </w:tcPr>
          <w:p w14:paraId="05ABDA55"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can be measured during a single grant year.</w:t>
            </w:r>
          </w:p>
        </w:tc>
        <w:tc>
          <w:tcPr>
            <w:tcW w:w="1170" w:type="dxa"/>
          </w:tcPr>
          <w:p w14:paraId="2CE3929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17CA9E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68E584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84B34FA" w14:textId="77777777">
        <w:tc>
          <w:tcPr>
            <w:tcW w:w="9738" w:type="dxa"/>
            <w:gridSpan w:val="5"/>
            <w:shd w:val="clear" w:color="auto" w:fill="BFBFBF"/>
          </w:tcPr>
          <w:p w14:paraId="6D6DCC8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Targets</w:t>
            </w:r>
          </w:p>
        </w:tc>
      </w:tr>
      <w:tr w:rsidR="0041126D" w:rsidRPr="004D40EA" w14:paraId="624829F0" w14:textId="77777777">
        <w:tc>
          <w:tcPr>
            <w:tcW w:w="468" w:type="dxa"/>
          </w:tcPr>
          <w:p w14:paraId="683C12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14</w:t>
            </w:r>
          </w:p>
        </w:tc>
        <w:tc>
          <w:tcPr>
            <w:tcW w:w="5760" w:type="dxa"/>
          </w:tcPr>
          <w:p w14:paraId="63A403C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 and outcome targets are reasonable for the proposed program design.</w:t>
            </w:r>
          </w:p>
        </w:tc>
        <w:tc>
          <w:tcPr>
            <w:tcW w:w="1170" w:type="dxa"/>
          </w:tcPr>
          <w:p w14:paraId="2631E0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2730E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30D5A2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75EB4BE" w14:textId="77777777">
        <w:tc>
          <w:tcPr>
            <w:tcW w:w="468" w:type="dxa"/>
          </w:tcPr>
          <w:p w14:paraId="057DB6A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lastRenderedPageBreak/>
              <w:t>15</w:t>
            </w:r>
          </w:p>
        </w:tc>
        <w:tc>
          <w:tcPr>
            <w:tcW w:w="5760" w:type="dxa"/>
          </w:tcPr>
          <w:p w14:paraId="42D3FB2E"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Targets are expressed as numbers, not percentages.</w:t>
            </w:r>
          </w:p>
        </w:tc>
        <w:tc>
          <w:tcPr>
            <w:tcW w:w="1170" w:type="dxa"/>
          </w:tcPr>
          <w:p w14:paraId="5957F2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1DFEC3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19976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369AC5E" w14:textId="77777777">
        <w:tc>
          <w:tcPr>
            <w:tcW w:w="9738" w:type="dxa"/>
            <w:gridSpan w:val="5"/>
            <w:shd w:val="clear" w:color="auto" w:fill="BFBFBF"/>
          </w:tcPr>
          <w:p w14:paraId="5748802A"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Instructions</w:t>
            </w:r>
          </w:p>
        </w:tc>
      </w:tr>
      <w:tr w:rsidR="0041126D" w:rsidRPr="004D40EA" w14:paraId="3C2246AB" w14:textId="77777777">
        <w:tc>
          <w:tcPr>
            <w:tcW w:w="468" w:type="dxa"/>
          </w:tcPr>
          <w:p w14:paraId="580655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16</w:t>
            </w:r>
          </w:p>
        </w:tc>
        <w:tc>
          <w:tcPr>
            <w:tcW w:w="5760" w:type="dxa"/>
          </w:tcPr>
          <w:p w14:paraId="05FFC1E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National Performance Measures conform to selection rules, definitions, and data collection requirements specified in the Performance Measure Instructions.</w:t>
            </w:r>
          </w:p>
        </w:tc>
        <w:tc>
          <w:tcPr>
            <w:tcW w:w="1170" w:type="dxa"/>
          </w:tcPr>
          <w:p w14:paraId="3FBE60C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0592C1E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6A25831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6C31F3A" w14:textId="77777777">
        <w:tc>
          <w:tcPr>
            <w:tcW w:w="468" w:type="dxa"/>
          </w:tcPr>
          <w:p w14:paraId="09FDF50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17</w:t>
            </w:r>
          </w:p>
        </w:tc>
        <w:tc>
          <w:tcPr>
            <w:tcW w:w="5760" w:type="dxa"/>
          </w:tcPr>
          <w:p w14:paraId="6EACC38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any retired National Performance Measures (e.g., measures that do not appear in the Performance Measure Instructions).</w:t>
            </w:r>
          </w:p>
        </w:tc>
        <w:tc>
          <w:tcPr>
            <w:tcW w:w="1170" w:type="dxa"/>
          </w:tcPr>
          <w:p w14:paraId="74D643F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5AFB76C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7C07EAA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5F38E84" w14:textId="77777777">
        <w:tc>
          <w:tcPr>
            <w:tcW w:w="9738" w:type="dxa"/>
            <w:gridSpan w:val="5"/>
            <w:shd w:val="clear" w:color="auto" w:fill="BFBFBF"/>
          </w:tcPr>
          <w:p w14:paraId="1691E464"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Data Collection/Instruments</w:t>
            </w:r>
          </w:p>
        </w:tc>
      </w:tr>
      <w:tr w:rsidR="0041126D" w:rsidRPr="004D40EA" w14:paraId="74F074D1" w14:textId="77777777">
        <w:tc>
          <w:tcPr>
            <w:tcW w:w="468" w:type="dxa"/>
          </w:tcPr>
          <w:p w14:paraId="1BAF550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18</w:t>
            </w:r>
          </w:p>
        </w:tc>
        <w:tc>
          <w:tcPr>
            <w:tcW w:w="5760" w:type="dxa"/>
          </w:tcPr>
          <w:p w14:paraId="305D46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Data collection methods are appropriate for the output/outcome being measured.</w:t>
            </w:r>
          </w:p>
        </w:tc>
        <w:tc>
          <w:tcPr>
            <w:tcW w:w="1170" w:type="dxa"/>
          </w:tcPr>
          <w:p w14:paraId="05556B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90983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D07F28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EFD9638" w14:textId="77777777">
        <w:tc>
          <w:tcPr>
            <w:tcW w:w="9738" w:type="dxa"/>
            <w:gridSpan w:val="5"/>
            <w:shd w:val="clear" w:color="auto" w:fill="BFBFBF"/>
          </w:tcPr>
          <w:p w14:paraId="47BE6A37"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Sampling (if applicable)</w:t>
            </w:r>
          </w:p>
        </w:tc>
      </w:tr>
      <w:tr w:rsidR="0041126D" w:rsidRPr="004D40EA" w14:paraId="4B095514" w14:textId="77777777">
        <w:tc>
          <w:tcPr>
            <w:tcW w:w="468" w:type="dxa"/>
          </w:tcPr>
          <w:p w14:paraId="1178E5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19</w:t>
            </w:r>
          </w:p>
        </w:tc>
        <w:tc>
          <w:tcPr>
            <w:tcW w:w="5760" w:type="dxa"/>
          </w:tcPr>
          <w:p w14:paraId="65FC822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If sampling is proposed, the sampling plan is forwarded to AmeriCorps for consideration.  (Note: Formula grantees are not permitted to sample.)</w:t>
            </w:r>
          </w:p>
        </w:tc>
        <w:tc>
          <w:tcPr>
            <w:tcW w:w="1170" w:type="dxa"/>
          </w:tcPr>
          <w:p w14:paraId="231A02B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37E6D33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tcPr>
          <w:p w14:paraId="2D41A95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bl>
    <w:p w14:paraId="4011B32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2121B8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BB6233F"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6572D345"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011FF56C"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4216E1FD"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bCs/>
        </w:rPr>
        <w:br w:type="page"/>
      </w:r>
      <w:bookmarkStart w:id="43" w:name="AppendixC"/>
      <w:bookmarkStart w:id="44" w:name="_Toc518377559"/>
      <w:r w:rsidRPr="004D40EA">
        <w:rPr>
          <w:rFonts w:ascii="Avenir Next LT Pro" w:hAnsi="Avenir Next LT Pro"/>
        </w:rPr>
        <w:lastRenderedPageBreak/>
        <w:t>Appendix C: Frequently Asked Questions</w:t>
      </w:r>
      <w:bookmarkEnd w:id="43"/>
      <w:bookmarkEnd w:id="44"/>
    </w:p>
    <w:p w14:paraId="02E871C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b/>
        <w:t xml:space="preserve"> </w:t>
      </w:r>
    </w:p>
    <w:p w14:paraId="2A613CC1" w14:textId="77777777" w:rsidR="0041126D" w:rsidRPr="009578F2" w:rsidRDefault="0041126D" w:rsidP="0041126D">
      <w:pPr>
        <w:pStyle w:val="ListParagraph"/>
        <w:ind w:left="0"/>
        <w:contextualSpacing/>
        <w:rPr>
          <w:rFonts w:ascii="Avenir Next LT Pro" w:hAnsi="Avenir Next LT Pro"/>
          <w:sz w:val="20"/>
          <w:szCs w:val="20"/>
        </w:rPr>
      </w:pPr>
    </w:p>
    <w:p w14:paraId="6F6475B4"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What should a continuation applicant do if one or more of their National Performance Measures is no longer present in the Performance Measure Instructions?</w:t>
      </w:r>
    </w:p>
    <w:p w14:paraId="7C047711" w14:textId="77777777" w:rsidR="0041126D" w:rsidRPr="009578F2" w:rsidRDefault="0041126D" w:rsidP="0041126D">
      <w:pPr>
        <w:spacing w:after="0" w:line="240" w:lineRule="auto"/>
        <w:contextualSpacing/>
        <w:rPr>
          <w:rFonts w:ascii="Avenir Next LT Pro" w:hAnsi="Avenir Next LT Pro"/>
          <w:b/>
          <w:i/>
          <w:sz w:val="20"/>
          <w:szCs w:val="20"/>
        </w:rPr>
      </w:pPr>
    </w:p>
    <w:p w14:paraId="5258D0F8"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All applicants, including continuation applicants, must follow the National Performance Measure selection rules specified in the current Performance Measure Instructions.  Applicants must revise their performance measures as needed to conform to the updated instructions.</w:t>
      </w:r>
    </w:p>
    <w:p w14:paraId="3455956F" w14:textId="77777777" w:rsidR="0041126D" w:rsidRPr="009578F2" w:rsidRDefault="0041126D" w:rsidP="0041126D">
      <w:pPr>
        <w:spacing w:after="0" w:line="240" w:lineRule="auto"/>
        <w:contextualSpacing/>
        <w:rPr>
          <w:rFonts w:ascii="Avenir Next LT Pro" w:hAnsi="Avenir Next LT Pro"/>
          <w:sz w:val="20"/>
          <w:szCs w:val="20"/>
        </w:rPr>
      </w:pPr>
    </w:p>
    <w:p w14:paraId="525286E9"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should a continuation grantee who is measuring a National Performance Measure output or outcome that has a changed definition do in the continuation application? </w:t>
      </w:r>
      <w:r w:rsidRPr="009578F2">
        <w:rPr>
          <w:rFonts w:ascii="Avenir Next LT Pro" w:hAnsi="Avenir Next LT Pro"/>
          <w:b/>
          <w:i/>
          <w:sz w:val="20"/>
          <w:szCs w:val="20"/>
        </w:rPr>
        <w:tab/>
      </w:r>
    </w:p>
    <w:p w14:paraId="430E6C57" w14:textId="77777777" w:rsidR="0041126D" w:rsidRPr="009578F2" w:rsidRDefault="0041126D" w:rsidP="0041126D">
      <w:pPr>
        <w:spacing w:after="0" w:line="240" w:lineRule="auto"/>
        <w:contextualSpacing/>
        <w:rPr>
          <w:rFonts w:ascii="Avenir Next LT Pro" w:hAnsi="Avenir Next LT Pro"/>
          <w:b/>
          <w:i/>
          <w:sz w:val="20"/>
          <w:szCs w:val="20"/>
        </w:rPr>
      </w:pPr>
    </w:p>
    <w:p w14:paraId="1B5F1B53"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If the grantee is unable to measure the output or outcome as defined in the current Performance Measure Instructions, the grantee should choose a different performance measure.    </w:t>
      </w:r>
    </w:p>
    <w:p w14:paraId="2AA81133" w14:textId="77777777" w:rsidR="0041126D" w:rsidRPr="009578F2" w:rsidRDefault="0041126D" w:rsidP="0041126D">
      <w:pPr>
        <w:spacing w:after="0" w:line="240" w:lineRule="auto"/>
        <w:contextualSpacing/>
        <w:rPr>
          <w:rFonts w:ascii="Avenir Next LT Pro" w:hAnsi="Avenir Next LT Pro"/>
          <w:sz w:val="20"/>
          <w:szCs w:val="20"/>
        </w:rPr>
      </w:pPr>
    </w:p>
    <w:p w14:paraId="0CA8A766"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are National Performance Measures? </w:t>
      </w:r>
      <w:r w:rsidRPr="009578F2">
        <w:rPr>
          <w:rFonts w:ascii="Avenir Next LT Pro" w:hAnsi="Avenir Next LT Pro"/>
          <w:b/>
          <w:i/>
          <w:sz w:val="20"/>
          <w:szCs w:val="20"/>
        </w:rPr>
        <w:tab/>
      </w:r>
    </w:p>
    <w:p w14:paraId="3D2AADAD" w14:textId="77777777" w:rsidR="0041126D" w:rsidRPr="009578F2" w:rsidRDefault="0041126D" w:rsidP="0041126D">
      <w:pPr>
        <w:pStyle w:val="ListParagraph"/>
        <w:ind w:left="0"/>
        <w:contextualSpacing/>
        <w:rPr>
          <w:rFonts w:ascii="Avenir Next LT Pro" w:hAnsi="Avenir Next LT Pro"/>
          <w:b/>
          <w:i/>
          <w:sz w:val="20"/>
          <w:szCs w:val="20"/>
        </w:rPr>
      </w:pPr>
    </w:p>
    <w:p w14:paraId="295593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AmeriCorps has established six Focus Areas: Disaster Services, Economic Opportunity, Education, Environmental Stewardship, Healthy Futures, and Veterans and Military Families based on the priorities included in the Serve America Act. Within these Focus Areas, as well as for Capacity Building, AmeriCorps has created National Performance Measures in order to aggregate the results of similar programs and demonstrate the impact across our agency programs and initiatives. </w:t>
      </w:r>
    </w:p>
    <w:p w14:paraId="530769B0" w14:textId="77777777" w:rsidR="0041126D" w:rsidRPr="009578F2" w:rsidRDefault="0041126D" w:rsidP="0041126D">
      <w:pPr>
        <w:spacing w:after="0" w:line="240" w:lineRule="auto"/>
        <w:contextualSpacing/>
        <w:rPr>
          <w:rFonts w:ascii="Avenir Next LT Pro" w:hAnsi="Avenir Next LT Pro"/>
          <w:sz w:val="20"/>
          <w:szCs w:val="20"/>
        </w:rPr>
      </w:pPr>
    </w:p>
    <w:p w14:paraId="5E6E71E2"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is an aligned performance measure? </w:t>
      </w:r>
      <w:r w:rsidRPr="009578F2">
        <w:rPr>
          <w:rFonts w:ascii="Avenir Next LT Pro" w:hAnsi="Avenir Next LT Pro"/>
          <w:b/>
          <w:i/>
          <w:sz w:val="20"/>
          <w:szCs w:val="20"/>
        </w:rPr>
        <w:tab/>
      </w:r>
    </w:p>
    <w:p w14:paraId="4E13C8FC" w14:textId="77777777" w:rsidR="0041126D" w:rsidRPr="009578F2" w:rsidRDefault="0041126D" w:rsidP="0041126D">
      <w:pPr>
        <w:spacing w:after="0" w:line="240" w:lineRule="auto"/>
        <w:contextualSpacing/>
        <w:rPr>
          <w:rFonts w:ascii="Avenir Next LT Pro" w:hAnsi="Avenir Next LT Pro"/>
          <w:sz w:val="20"/>
          <w:szCs w:val="20"/>
        </w:rPr>
      </w:pPr>
    </w:p>
    <w:p w14:paraId="68125C3D"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An aligned performance measure is an output paired with an outcome. The paired output-outcome measures may be National Performance Measures, applicant-determined measures, or the combination of a National Performance Measure output and an applicant-determined outcome.  Applicant-determined outputs cannot be paired with National Performance Measure outcomes in an aligned performance measure.</w:t>
      </w:r>
    </w:p>
    <w:p w14:paraId="23697132" w14:textId="77777777" w:rsidR="0041126D" w:rsidRPr="009578F2" w:rsidRDefault="0041126D" w:rsidP="0041126D">
      <w:pPr>
        <w:pStyle w:val="ListParagraph"/>
        <w:ind w:left="0"/>
        <w:contextualSpacing/>
        <w:rPr>
          <w:rFonts w:ascii="Avenir Next LT Pro" w:hAnsi="Avenir Next LT Pro"/>
          <w:b/>
          <w:i/>
          <w:sz w:val="20"/>
          <w:szCs w:val="20"/>
        </w:rPr>
      </w:pPr>
    </w:p>
    <w:p w14:paraId="1F28474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is an applicant-determined performance measure? </w:t>
      </w:r>
      <w:r w:rsidRPr="009578F2">
        <w:rPr>
          <w:rFonts w:ascii="Avenir Next LT Pro" w:hAnsi="Avenir Next LT Pro"/>
          <w:b/>
          <w:i/>
          <w:sz w:val="20"/>
          <w:szCs w:val="20"/>
        </w:rPr>
        <w:tab/>
      </w:r>
    </w:p>
    <w:p w14:paraId="67427C60" w14:textId="77777777" w:rsidR="0041126D" w:rsidRPr="009578F2" w:rsidRDefault="0041126D" w:rsidP="0041126D">
      <w:pPr>
        <w:pStyle w:val="ListParagraph"/>
        <w:ind w:left="0"/>
        <w:contextualSpacing/>
        <w:rPr>
          <w:rFonts w:ascii="Avenir Next LT Pro" w:hAnsi="Avenir Next LT Pro"/>
          <w:b/>
          <w:i/>
          <w:sz w:val="20"/>
          <w:szCs w:val="20"/>
        </w:rPr>
      </w:pPr>
    </w:p>
    <w:p w14:paraId="7CAA6110" w14:textId="77777777" w:rsidR="0041126D" w:rsidRPr="009578F2" w:rsidRDefault="0041126D" w:rsidP="0041126D">
      <w:pPr>
        <w:spacing w:after="0" w:line="240" w:lineRule="auto"/>
        <w:contextualSpacing/>
        <w:rPr>
          <w:rFonts w:ascii="Avenir Next LT Pro" w:hAnsi="Avenir Next LT Pro"/>
          <w:i/>
          <w:sz w:val="20"/>
          <w:szCs w:val="20"/>
        </w:rPr>
      </w:pPr>
      <w:r w:rsidRPr="009578F2">
        <w:rPr>
          <w:rFonts w:ascii="Avenir Next LT Pro" w:hAnsi="Avenir Next LT Pro"/>
          <w:sz w:val="20"/>
          <w:szCs w:val="20"/>
        </w:rPr>
        <w:t xml:space="preserve">An applicant-determined performance measure is one in which the applicant creates the language for the outputs and/or outcomes that will be measured. This is different from the National Performance Measures, where AmeriCorps pre-determines common outputs and outcomes that are available for applicants to use. </w:t>
      </w:r>
    </w:p>
    <w:p w14:paraId="2F5A9C1F" w14:textId="77777777" w:rsidR="0041126D" w:rsidRPr="009578F2" w:rsidRDefault="0041126D" w:rsidP="0041126D">
      <w:pPr>
        <w:spacing w:after="0" w:line="240" w:lineRule="auto"/>
        <w:contextualSpacing/>
        <w:rPr>
          <w:rFonts w:ascii="Avenir Next LT Pro" w:hAnsi="Avenir Next LT Pro"/>
          <w:sz w:val="20"/>
          <w:szCs w:val="20"/>
        </w:rPr>
      </w:pPr>
    </w:p>
    <w:p w14:paraId="42242E19"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What is an output-only performance measure?</w:t>
      </w:r>
    </w:p>
    <w:p w14:paraId="010950F3" w14:textId="77777777" w:rsidR="0041126D" w:rsidRPr="009578F2" w:rsidRDefault="0041126D" w:rsidP="0041126D">
      <w:pPr>
        <w:pStyle w:val="ListParagraph"/>
        <w:ind w:left="0"/>
        <w:contextualSpacing/>
        <w:rPr>
          <w:rFonts w:ascii="Avenir Next LT Pro" w:hAnsi="Avenir Next LT Pro"/>
          <w:b/>
          <w:i/>
          <w:sz w:val="20"/>
          <w:szCs w:val="20"/>
        </w:rPr>
      </w:pPr>
    </w:p>
    <w:p w14:paraId="5D7321EA" w14:textId="77777777"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An output-only measure is a National Performance Measure output without associated outcome(s).  Applicants may select output-only measures if the output measures a significant program activity.  These do not fulfill the requirement for an aligned performance measure, but may be selected in addition to the aligned measure(s).</w:t>
      </w:r>
    </w:p>
    <w:p w14:paraId="24E8EB39" w14:textId="77777777" w:rsidR="0041126D" w:rsidRPr="009578F2" w:rsidRDefault="0041126D" w:rsidP="0041126D">
      <w:pPr>
        <w:pStyle w:val="ListParagraph"/>
        <w:ind w:left="0"/>
        <w:contextualSpacing/>
        <w:rPr>
          <w:rFonts w:ascii="Avenir Next LT Pro" w:hAnsi="Avenir Next LT Pro"/>
          <w:b/>
          <w:i/>
          <w:sz w:val="20"/>
          <w:szCs w:val="20"/>
        </w:rPr>
      </w:pPr>
    </w:p>
    <w:p w14:paraId="1694A727"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color w:val="000000"/>
          <w:sz w:val="20"/>
          <w:szCs w:val="20"/>
        </w:rPr>
      </w:pPr>
      <w:r w:rsidRPr="009578F2">
        <w:rPr>
          <w:rFonts w:ascii="Avenir Next LT Pro" w:hAnsi="Avenir Next LT Pro"/>
          <w:b/>
          <w:i/>
          <w:iCs/>
          <w:color w:val="000000"/>
          <w:sz w:val="20"/>
          <w:szCs w:val="20"/>
        </w:rPr>
        <w:t xml:space="preserve">What is the definition of "National Service Participant"? </w:t>
      </w:r>
    </w:p>
    <w:p w14:paraId="5FDD348B"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4435AD3C" w14:textId="77777777" w:rsidR="0041126D" w:rsidRPr="009578F2" w:rsidRDefault="0041126D" w:rsidP="0041126D">
      <w:pPr>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For AmeriCorps State and National programs, National Service Participant refers to the AmeriCorps members themselves. </w:t>
      </w:r>
    </w:p>
    <w:p w14:paraId="5A43B07C" w14:textId="77777777" w:rsidR="0041126D" w:rsidRPr="009578F2" w:rsidRDefault="0041126D" w:rsidP="0041126D">
      <w:pPr>
        <w:spacing w:after="0" w:line="240" w:lineRule="auto"/>
        <w:contextualSpacing/>
        <w:rPr>
          <w:rFonts w:ascii="Avenir Next LT Pro" w:hAnsi="Avenir Next LT Pro"/>
          <w:sz w:val="20"/>
          <w:szCs w:val="20"/>
        </w:rPr>
      </w:pPr>
    </w:p>
    <w:p w14:paraId="71D66F25" w14:textId="6FBA0F82" w:rsidR="0041126D" w:rsidRPr="009578F2" w:rsidRDefault="00197382" w:rsidP="0041126D">
      <w:pPr>
        <w:numPr>
          <w:ilvl w:val="0"/>
          <w:numId w:val="2"/>
        </w:numPr>
        <w:spacing w:after="0" w:line="240" w:lineRule="auto"/>
        <w:contextualSpacing/>
        <w:rPr>
          <w:rFonts w:ascii="Avenir Next LT Pro" w:hAnsi="Avenir Next LT Pro"/>
          <w:b/>
          <w:i/>
          <w:sz w:val="20"/>
          <w:szCs w:val="20"/>
        </w:rPr>
      </w:pPr>
      <w:r>
        <w:rPr>
          <w:rFonts w:ascii="Avenir Next LT Pro" w:hAnsi="Avenir Next LT Pro"/>
          <w:b/>
          <w:i/>
          <w:color w:val="4472C4" w:themeColor="accent1"/>
          <w:sz w:val="20"/>
          <w:szCs w:val="20"/>
        </w:rPr>
        <w:t>UPDATED</w:t>
      </w:r>
      <w:r w:rsidRPr="00197382">
        <w:rPr>
          <w:rFonts w:ascii="Avenir Next LT Pro" w:hAnsi="Avenir Next LT Pro"/>
          <w:b/>
          <w:i/>
          <w:color w:val="4472C4" w:themeColor="accent1"/>
          <w:sz w:val="20"/>
          <w:szCs w:val="20"/>
        </w:rPr>
        <w:t>:</w:t>
      </w:r>
      <w:r>
        <w:rPr>
          <w:rFonts w:ascii="Avenir Next LT Pro" w:hAnsi="Avenir Next LT Pro"/>
          <w:b/>
          <w:i/>
          <w:sz w:val="20"/>
          <w:szCs w:val="20"/>
        </w:rPr>
        <w:t xml:space="preserve"> </w:t>
      </w:r>
      <w:r w:rsidR="0041126D" w:rsidRPr="009578F2">
        <w:rPr>
          <w:rFonts w:ascii="Avenir Next LT Pro" w:hAnsi="Avenir Next LT Pro"/>
          <w:b/>
          <w:i/>
          <w:sz w:val="20"/>
          <w:szCs w:val="20"/>
        </w:rPr>
        <w:t xml:space="preserve">Can I count AmeriCorps members as beneficiaries of service under my performance measures? </w:t>
      </w:r>
      <w:r w:rsidR="0041126D" w:rsidRPr="009578F2">
        <w:rPr>
          <w:rFonts w:ascii="Avenir Next LT Pro" w:hAnsi="Avenir Next LT Pro"/>
          <w:b/>
          <w:i/>
          <w:sz w:val="20"/>
          <w:szCs w:val="20"/>
        </w:rPr>
        <w:tab/>
      </w:r>
    </w:p>
    <w:p w14:paraId="4A72C013" w14:textId="77777777" w:rsidR="0041126D" w:rsidRPr="009578F2" w:rsidRDefault="0041126D" w:rsidP="0041126D">
      <w:pPr>
        <w:spacing w:after="0" w:line="240" w:lineRule="auto"/>
        <w:contextualSpacing/>
        <w:rPr>
          <w:rFonts w:ascii="Avenir Next LT Pro" w:hAnsi="Avenir Next LT Pro"/>
          <w:sz w:val="20"/>
          <w:szCs w:val="20"/>
        </w:rPr>
      </w:pPr>
    </w:p>
    <w:p w14:paraId="5C0FFA8A" w14:textId="09839212" w:rsidR="00197382" w:rsidRDefault="00197382" w:rsidP="0041126D">
      <w:pPr>
        <w:spacing w:after="0" w:line="240" w:lineRule="auto"/>
        <w:contextualSpacing/>
        <w:rPr>
          <w:rFonts w:ascii="Avenir Next LT Pro" w:hAnsi="Avenir Next LT Pro"/>
          <w:sz w:val="20"/>
          <w:szCs w:val="20"/>
        </w:rPr>
      </w:pPr>
      <w:r>
        <w:rPr>
          <w:rFonts w:ascii="Avenir Next LT Pro" w:hAnsi="Avenir Next LT Pro"/>
          <w:sz w:val="20"/>
          <w:szCs w:val="20"/>
        </w:rPr>
        <w:t>It depends. You must follow the definition for “individuals” for National Performance Measures. You may create applicant-determined measures for member-focused outputs and outcomes. Please also report member-focused outputs and outcomes as Performance Data Elements on annual Progress Reports</w:t>
      </w:r>
      <w:r w:rsidR="00931A8D">
        <w:rPr>
          <w:rFonts w:ascii="Avenir Next LT Pro" w:hAnsi="Avenir Next LT Pro"/>
          <w:sz w:val="20"/>
          <w:szCs w:val="20"/>
        </w:rPr>
        <w:t>, if applicable</w:t>
      </w:r>
      <w:r>
        <w:rPr>
          <w:rFonts w:ascii="Avenir Next LT Pro" w:hAnsi="Avenir Next LT Pro"/>
          <w:sz w:val="20"/>
          <w:szCs w:val="20"/>
        </w:rPr>
        <w:t>.</w:t>
      </w:r>
    </w:p>
    <w:p w14:paraId="2E4A49E8" w14:textId="77777777" w:rsidR="0041126D" w:rsidRPr="009578F2" w:rsidRDefault="0041126D" w:rsidP="0041126D">
      <w:pPr>
        <w:spacing w:after="0" w:line="240" w:lineRule="auto"/>
        <w:contextualSpacing/>
        <w:rPr>
          <w:rFonts w:ascii="Avenir Next LT Pro" w:hAnsi="Avenir Next LT Pro"/>
          <w:i/>
          <w:sz w:val="20"/>
          <w:szCs w:val="20"/>
        </w:rPr>
      </w:pPr>
    </w:p>
    <w:p w14:paraId="730213FB"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Do the AmeriCorps members in my program have to be directly providing the service counted in the performance measures? </w:t>
      </w:r>
      <w:r w:rsidRPr="009578F2">
        <w:rPr>
          <w:rFonts w:ascii="Avenir Next LT Pro" w:hAnsi="Avenir Next LT Pro"/>
          <w:b/>
          <w:i/>
          <w:sz w:val="20"/>
          <w:szCs w:val="20"/>
        </w:rPr>
        <w:tab/>
      </w:r>
    </w:p>
    <w:p w14:paraId="31C5880F" w14:textId="77777777" w:rsidR="0041126D" w:rsidRPr="009578F2" w:rsidRDefault="0041126D" w:rsidP="0041126D">
      <w:pPr>
        <w:spacing w:after="0" w:line="240" w:lineRule="auto"/>
        <w:contextualSpacing/>
        <w:rPr>
          <w:rFonts w:ascii="Avenir Next LT Pro" w:hAnsi="Avenir Next LT Pro"/>
          <w:sz w:val="20"/>
          <w:szCs w:val="20"/>
        </w:rPr>
      </w:pPr>
    </w:p>
    <w:p w14:paraId="0201754E"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The activities associated your performance measures must be carried out either by National Service Participants or by volunteers directly recruited and/or supported by National Service Participants.</w:t>
      </w:r>
      <w:r w:rsidRPr="009578F2">
        <w:rPr>
          <w:rFonts w:ascii="Avenir Next LT Pro" w:hAnsi="Avenir Next LT Pro"/>
          <w:sz w:val="20"/>
          <w:szCs w:val="20"/>
        </w:rPr>
        <w:tab/>
        <w:t xml:space="preserve">  </w:t>
      </w:r>
    </w:p>
    <w:p w14:paraId="0CFDDA40" w14:textId="77777777" w:rsidR="0041126D" w:rsidRPr="009578F2" w:rsidRDefault="0041126D" w:rsidP="0041126D">
      <w:pPr>
        <w:spacing w:after="0" w:line="240" w:lineRule="auto"/>
        <w:contextualSpacing/>
        <w:rPr>
          <w:rFonts w:ascii="Avenir Next LT Pro" w:hAnsi="Avenir Next LT Pro"/>
          <w:sz w:val="20"/>
          <w:szCs w:val="20"/>
        </w:rPr>
      </w:pPr>
    </w:p>
    <w:p w14:paraId="01AA837A"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many performance measures should I propose? </w:t>
      </w:r>
      <w:r w:rsidRPr="009578F2">
        <w:rPr>
          <w:rFonts w:ascii="Avenir Next LT Pro" w:hAnsi="Avenir Next LT Pro"/>
          <w:b/>
          <w:i/>
          <w:sz w:val="20"/>
          <w:szCs w:val="20"/>
        </w:rPr>
        <w:tab/>
      </w:r>
    </w:p>
    <w:p w14:paraId="0582889A" w14:textId="77777777" w:rsidR="0041126D" w:rsidRPr="009578F2" w:rsidRDefault="0041126D" w:rsidP="0041126D">
      <w:pPr>
        <w:spacing w:after="0" w:line="240" w:lineRule="auto"/>
        <w:contextualSpacing/>
        <w:rPr>
          <w:rFonts w:ascii="Avenir Next LT Pro" w:hAnsi="Avenir Next LT Pro"/>
          <w:sz w:val="20"/>
          <w:szCs w:val="20"/>
        </w:rPr>
      </w:pPr>
    </w:p>
    <w:p w14:paraId="7BBF236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Each program must have at least one aligned measure (composed of an output and an outcome) reflecting its primary intervention. It is appropriate to have additional performance measures for other significant components of your program, but AmeriCorps values the quality of performance measures more than the quantity. Performance measures reflecting activities that are not central to your program model should not be included in your application and do not need to be reported to AmeriCorps, although you might still collect the data for your own purposes.</w:t>
      </w:r>
      <w:r w:rsidRPr="009578F2">
        <w:rPr>
          <w:rFonts w:ascii="Avenir Next LT Pro" w:hAnsi="Avenir Next LT Pro"/>
          <w:sz w:val="20"/>
          <w:szCs w:val="20"/>
        </w:rPr>
        <w:tab/>
        <w:t xml:space="preserve">  </w:t>
      </w:r>
    </w:p>
    <w:p w14:paraId="6EBD73AC" w14:textId="77777777" w:rsidR="0041126D" w:rsidRPr="009578F2" w:rsidRDefault="0041126D" w:rsidP="0041126D">
      <w:pPr>
        <w:spacing w:after="0" w:line="240" w:lineRule="auto"/>
        <w:ind w:firstLine="1500"/>
        <w:contextualSpacing/>
        <w:rPr>
          <w:rFonts w:ascii="Avenir Next LT Pro" w:hAnsi="Avenir Next LT Pro"/>
          <w:sz w:val="20"/>
          <w:szCs w:val="20"/>
        </w:rPr>
      </w:pPr>
    </w:p>
    <w:p w14:paraId="750B7050"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I count the same beneficiaries in more than one performance measure output? </w:t>
      </w:r>
      <w:r w:rsidRPr="009578F2">
        <w:rPr>
          <w:rFonts w:ascii="Avenir Next LT Pro" w:hAnsi="Avenir Next LT Pro"/>
          <w:b/>
          <w:i/>
          <w:sz w:val="20"/>
          <w:szCs w:val="20"/>
        </w:rPr>
        <w:tab/>
      </w:r>
    </w:p>
    <w:p w14:paraId="52E09D61" w14:textId="77777777" w:rsidR="0041126D" w:rsidRPr="009578F2" w:rsidRDefault="0041126D" w:rsidP="0041126D">
      <w:pPr>
        <w:pStyle w:val="ListParagraph"/>
        <w:ind w:left="360"/>
        <w:contextualSpacing/>
        <w:rPr>
          <w:rFonts w:ascii="Avenir Next LT Pro" w:hAnsi="Avenir Next LT Pro"/>
          <w:i/>
          <w:sz w:val="20"/>
          <w:szCs w:val="20"/>
        </w:rPr>
      </w:pPr>
    </w:p>
    <w:p w14:paraId="0E0276DF"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Unless otherwise specified, the same beneficiaries may be counted more than once across different measures for different interventions (services) they may be receiving. For example, if your AmeriCorps members helped one specific individual to both prepare for a disaster and obtain employment, you may count that same individual in both D1A and O1A. However, programs cannot count the same individual more than once within any one specific performance measure.  So, for example, an individual who attended two disaster preparation training workshops during a single program year cannot be counted twice under D1A.   </w:t>
      </w:r>
    </w:p>
    <w:p w14:paraId="0F96FA51" w14:textId="77777777" w:rsidR="0041126D" w:rsidRPr="009578F2" w:rsidRDefault="0041126D" w:rsidP="0041126D">
      <w:pPr>
        <w:spacing w:after="0" w:line="240" w:lineRule="auto"/>
        <w:contextualSpacing/>
        <w:rPr>
          <w:rFonts w:ascii="Avenir Next LT Pro" w:hAnsi="Avenir Next LT Pro"/>
          <w:i/>
          <w:sz w:val="20"/>
          <w:szCs w:val="20"/>
        </w:rPr>
      </w:pPr>
    </w:p>
    <w:p w14:paraId="2E0DBCD5" w14:textId="77777777" w:rsidR="0041126D" w:rsidRPr="009578F2" w:rsidRDefault="0041126D" w:rsidP="0041126D">
      <w:pPr>
        <w:numPr>
          <w:ilvl w:val="0"/>
          <w:numId w:val="2"/>
        </w:numPr>
        <w:autoSpaceDE w:val="0"/>
        <w:autoSpaceDN w:val="0"/>
        <w:spacing w:after="0" w:line="240" w:lineRule="auto"/>
        <w:contextualSpacing/>
        <w:rPr>
          <w:rFonts w:ascii="Avenir Next LT Pro" w:hAnsi="Avenir Next LT Pro"/>
          <w:b/>
          <w:bCs/>
          <w:i/>
          <w:iCs/>
          <w:color w:val="000000"/>
          <w:sz w:val="20"/>
          <w:szCs w:val="20"/>
        </w:rPr>
      </w:pPr>
      <w:r w:rsidRPr="009578F2">
        <w:rPr>
          <w:rFonts w:ascii="Avenir Next LT Pro" w:hAnsi="Avenir Next LT Pro"/>
          <w:b/>
          <w:bCs/>
          <w:i/>
          <w:iCs/>
          <w:color w:val="000000"/>
          <w:sz w:val="20"/>
          <w:szCs w:val="20"/>
        </w:rPr>
        <w:t>Do all beneficiaries counted under a particular performance measure have to receive the same interventions?</w:t>
      </w:r>
    </w:p>
    <w:p w14:paraId="60121530" w14:textId="77777777" w:rsidR="0041126D" w:rsidRPr="009578F2" w:rsidRDefault="0041126D" w:rsidP="0041126D">
      <w:pPr>
        <w:autoSpaceDE w:val="0"/>
        <w:autoSpaceDN w:val="0"/>
        <w:spacing w:after="0" w:line="240" w:lineRule="auto"/>
        <w:rPr>
          <w:rFonts w:ascii="Avenir Next LT Pro" w:hAnsi="Avenir Next LT Pro"/>
          <w:i/>
          <w:iCs/>
          <w:color w:val="000000"/>
          <w:sz w:val="20"/>
          <w:szCs w:val="20"/>
        </w:rPr>
      </w:pPr>
    </w:p>
    <w:p w14:paraId="30C3BC2A" w14:textId="75568C61" w:rsidR="0041126D" w:rsidRPr="009578F2" w:rsidRDefault="0041126D" w:rsidP="0041126D">
      <w:pPr>
        <w:spacing w:after="0" w:line="240" w:lineRule="auto"/>
        <w:rPr>
          <w:rFonts w:ascii="Avenir Next LT Pro" w:hAnsi="Avenir Next LT Pro"/>
          <w:color w:val="1F497D"/>
        </w:rPr>
      </w:pPr>
      <w:r w:rsidRPr="009578F2">
        <w:rPr>
          <w:rFonts w:ascii="Avenir Next LT Pro" w:hAnsi="Avenir Next LT Pro"/>
          <w:color w:val="000000"/>
          <w:sz w:val="20"/>
          <w:szCs w:val="20"/>
        </w:rPr>
        <w:t>Yes, the interventions associated with the measure need to be applicable to all of the beneficiaries counted under the measure, even if the details of the intervention (e.g., the exact dosage provided) may vary. If one set of beneficiaries is receiving one type of intervention (e.g., mentoring) and a different set of beneficiaries is receiving a different type of intervention (e.g., tutoring), the two sets of beneficiaries should be counted in separate performance measures even if the expected outcome is the same. In contrast, if all beneficiaries are receiving multiple interventions with the same expected outcome (e.g. all beneficiaries are being both mentored and tutored to improve their academic performance), they can be counted in a single performance measure.</w:t>
      </w:r>
    </w:p>
    <w:p w14:paraId="6016560C"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53EFEC7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one performance measure output have more than one outcome?  </w:t>
      </w:r>
    </w:p>
    <w:p w14:paraId="364E7BF9" w14:textId="77777777" w:rsidR="0041126D" w:rsidRPr="009578F2" w:rsidRDefault="0041126D" w:rsidP="0041126D">
      <w:pPr>
        <w:spacing w:after="0" w:line="240" w:lineRule="auto"/>
        <w:contextualSpacing/>
        <w:rPr>
          <w:rFonts w:ascii="Avenir Next LT Pro" w:hAnsi="Avenir Next LT Pro"/>
          <w:sz w:val="20"/>
          <w:szCs w:val="20"/>
        </w:rPr>
      </w:pPr>
    </w:p>
    <w:p w14:paraId="7BF6DFE3" w14:textId="046E35AE"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Yes, there may be more than one outcome measure associated with a single output. Aligned measures should only be configured this way if it is expected that all of the individuals counted in the output will potentially achieve the outcomes indicated. If the outcomes are resulting from different populations being served, they should be counted in distinct performance measures.</w:t>
      </w:r>
    </w:p>
    <w:p w14:paraId="48F7FEE6" w14:textId="77777777" w:rsidR="0041126D" w:rsidRPr="009578F2" w:rsidRDefault="0041126D" w:rsidP="0041126D">
      <w:pPr>
        <w:spacing w:after="0" w:line="240" w:lineRule="auto"/>
        <w:contextualSpacing/>
        <w:rPr>
          <w:rFonts w:ascii="Avenir Next LT Pro" w:hAnsi="Avenir Next LT Pro"/>
          <w:b/>
          <w:sz w:val="20"/>
          <w:szCs w:val="20"/>
        </w:rPr>
      </w:pPr>
    </w:p>
    <w:p w14:paraId="6CFAAC1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Can I count the same people more than once under one performance measure output or outcome if they receive service in more than one grant year?</w:t>
      </w:r>
    </w:p>
    <w:p w14:paraId="67A82BAB" w14:textId="77777777" w:rsidR="0041126D" w:rsidRPr="009578F2" w:rsidRDefault="0041126D" w:rsidP="0041126D">
      <w:pPr>
        <w:pStyle w:val="ListParagraph"/>
        <w:ind w:left="0"/>
        <w:contextualSpacing/>
        <w:rPr>
          <w:rFonts w:ascii="Avenir Next LT Pro" w:hAnsi="Avenir Next LT Pro"/>
          <w:b/>
          <w:i/>
          <w:sz w:val="20"/>
          <w:szCs w:val="20"/>
        </w:rPr>
      </w:pPr>
    </w:p>
    <w:p w14:paraId="39A02626" w14:textId="586FDACB"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lastRenderedPageBreak/>
        <w:t>If the individual receives services in more than one grant year, they may be counted as having received services in the output measure for each of the grant years in which they receive services.  They may only be counted in the outcome measure for each grant year if they meet the specified level of improvement for the outcome in each year. For example, a student receives tutoring in second and third grade. The program expects that students will improve their reading score by one grade level each year. If the student is served in both second and third grade and improves by one grade level in each year, the student may be counted in output ED1A and outcome ED5A for both years. If the student improves by ½ grade level in second grade and one grade level in third grade, the student may be counted in ED1A for both years but only in ED5A for the third-grade year.</w:t>
      </w:r>
    </w:p>
    <w:p w14:paraId="4FE45047" w14:textId="77777777" w:rsidR="0041126D" w:rsidRPr="009578F2" w:rsidRDefault="0041126D" w:rsidP="0041126D">
      <w:pPr>
        <w:spacing w:after="0" w:line="240" w:lineRule="auto"/>
        <w:contextualSpacing/>
        <w:rPr>
          <w:rFonts w:ascii="Avenir Next LT Pro" w:hAnsi="Avenir Next LT Pro"/>
          <w:b/>
          <w:sz w:val="20"/>
          <w:szCs w:val="20"/>
        </w:rPr>
      </w:pPr>
    </w:p>
    <w:p w14:paraId="04E890C8"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Am I allowed to allocate funds for collecting and analyzing data? If so, how much? </w:t>
      </w:r>
      <w:r w:rsidRPr="009578F2">
        <w:rPr>
          <w:rFonts w:ascii="Avenir Next LT Pro" w:hAnsi="Avenir Next LT Pro"/>
          <w:b/>
          <w:i/>
          <w:sz w:val="20"/>
          <w:szCs w:val="20"/>
        </w:rPr>
        <w:tab/>
      </w:r>
    </w:p>
    <w:p w14:paraId="69070C17" w14:textId="77777777" w:rsidR="0041126D" w:rsidRPr="009578F2" w:rsidRDefault="0041126D" w:rsidP="0041126D">
      <w:pPr>
        <w:spacing w:after="0" w:line="240" w:lineRule="auto"/>
        <w:contextualSpacing/>
        <w:rPr>
          <w:rFonts w:ascii="Avenir Next LT Pro" w:hAnsi="Avenir Next LT Pro"/>
          <w:sz w:val="20"/>
          <w:szCs w:val="20"/>
        </w:rPr>
      </w:pPr>
    </w:p>
    <w:p w14:paraId="4E67BA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Costs related to measuring the performance of a program are allowable grant expenses. There is no standard recommended amount. As with all grant expenditures, these costs must be reasonable, allowable for the proposed program, and properly allocated across grant activities.  </w:t>
      </w:r>
    </w:p>
    <w:p w14:paraId="7C69B847" w14:textId="77777777" w:rsidR="0041126D" w:rsidRPr="009578F2" w:rsidRDefault="0041126D" w:rsidP="0041126D">
      <w:pPr>
        <w:spacing w:after="0" w:line="240" w:lineRule="auto"/>
        <w:contextualSpacing/>
        <w:rPr>
          <w:rFonts w:ascii="Avenir Next LT Pro" w:hAnsi="Avenir Next LT Pro"/>
          <w:sz w:val="20"/>
          <w:szCs w:val="20"/>
        </w:rPr>
      </w:pPr>
    </w:p>
    <w:p w14:paraId="7ECF7373"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Is my program expected to monitor member time to ensure that it corresponds to what is entered into the Performance Measures Module for the focus areas and strategic plan objectives? </w:t>
      </w:r>
      <w:r w:rsidRPr="009578F2">
        <w:rPr>
          <w:rFonts w:ascii="Avenir Next LT Pro" w:hAnsi="Avenir Next LT Pro"/>
          <w:b/>
          <w:i/>
          <w:sz w:val="20"/>
          <w:szCs w:val="20"/>
        </w:rPr>
        <w:tab/>
      </w:r>
    </w:p>
    <w:p w14:paraId="778D0620" w14:textId="77777777" w:rsidR="0041126D" w:rsidRPr="009578F2" w:rsidRDefault="0041126D" w:rsidP="0041126D">
      <w:pPr>
        <w:spacing w:after="0" w:line="240" w:lineRule="auto"/>
        <w:contextualSpacing/>
        <w:rPr>
          <w:rFonts w:ascii="Avenir Next LT Pro" w:hAnsi="Avenir Next LT Pro"/>
          <w:sz w:val="20"/>
          <w:szCs w:val="20"/>
        </w:rPr>
      </w:pPr>
    </w:p>
    <w:p w14:paraId="7830E37F" w14:textId="56297E8D"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Applicants should enter MSYs and members according to the distribution of time that members are expected to engage in each focus area and strategic plan objective. Programs will not be required to report on how the members actually spent their time. MSY allocations in the application should present the program’s best estimate.</w:t>
      </w:r>
    </w:p>
    <w:p w14:paraId="0694724E" w14:textId="77777777" w:rsidR="0041126D" w:rsidRPr="009578F2" w:rsidRDefault="0041126D" w:rsidP="0041126D">
      <w:pPr>
        <w:spacing w:after="0" w:line="240" w:lineRule="auto"/>
        <w:contextualSpacing/>
        <w:rPr>
          <w:rFonts w:ascii="Avenir Next LT Pro" w:hAnsi="Avenir Next LT Pro"/>
          <w:sz w:val="20"/>
          <w:szCs w:val="20"/>
        </w:rPr>
      </w:pPr>
    </w:p>
    <w:p w14:paraId="07F1D4DC"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i/>
          <w:iCs/>
          <w:color w:val="000000"/>
          <w:sz w:val="20"/>
          <w:szCs w:val="20"/>
        </w:rPr>
      </w:pPr>
      <w:r w:rsidRPr="009578F2">
        <w:rPr>
          <w:rFonts w:ascii="Avenir Next LT Pro" w:hAnsi="Avenir Next LT Pro"/>
          <w:b/>
          <w:i/>
          <w:iCs/>
          <w:color w:val="000000"/>
          <w:sz w:val="20"/>
          <w:szCs w:val="20"/>
        </w:rPr>
        <w:t xml:space="preserve">On the logic model chart there are three outcome levels (short, medium and long). Should all of these outcomes be entered as performance measures?  </w:t>
      </w:r>
    </w:p>
    <w:p w14:paraId="637FAA13"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33AC96E9" w14:textId="10E8DB24"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A program may have a theory of change that is based on accomplishing a long-term change in condition that is not measurable in a single program year. However, there may be shorter-term changes that can be linked to this ultimate goal that are strong indicators that the long-term change is likely to happen. While all of these outcomes may be included in the logic model, grantees are not required to measure or report on all of the outcomes. For performance measurement purposes, outcomes must measure changes that can be observed within a single program year. </w:t>
      </w:r>
    </w:p>
    <w:p w14:paraId="7F2633B8"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779B1A3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The National Performance Measure I want to select doesn’t appear in the drop-down menu.    What should I do?  </w:t>
      </w:r>
    </w:p>
    <w:p w14:paraId="1448CFDA" w14:textId="77777777" w:rsidR="0041126D" w:rsidRPr="009578F2" w:rsidRDefault="0041126D" w:rsidP="0041126D">
      <w:pPr>
        <w:spacing w:after="0" w:line="240" w:lineRule="auto"/>
        <w:contextualSpacing/>
        <w:rPr>
          <w:rFonts w:ascii="Avenir Next LT Pro" w:hAnsi="Avenir Next LT Pro"/>
          <w:b/>
          <w:i/>
          <w:sz w:val="20"/>
          <w:szCs w:val="20"/>
        </w:rPr>
      </w:pPr>
    </w:p>
    <w:p w14:paraId="485A9006" w14:textId="35C4E463"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Only performance measures corresponding to objectives selected on the Objectives tab will appear in the drop-down menu. Refer to the Performance Measure selection rules to determine which objective to select for each performance measure. Do NOT create an applicant-determined measure that duplicates a National Performance Measure.</w:t>
      </w:r>
    </w:p>
    <w:p w14:paraId="55540800" w14:textId="77777777" w:rsidR="0041126D" w:rsidRPr="009578F2" w:rsidRDefault="0041126D" w:rsidP="0041126D">
      <w:pPr>
        <w:pStyle w:val="ListParagraph"/>
        <w:ind w:left="360"/>
        <w:contextualSpacing/>
        <w:rPr>
          <w:rFonts w:ascii="Avenir Next LT Pro" w:hAnsi="Avenir Next LT Pro"/>
          <w:b/>
          <w:i/>
          <w:sz w:val="20"/>
          <w:szCs w:val="20"/>
        </w:rPr>
      </w:pPr>
    </w:p>
    <w:p w14:paraId="13C3CF5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want to create an applicant-determined measure, but the Performance Measures Module isn’t allowing me to do that.  What should I do?</w:t>
      </w:r>
    </w:p>
    <w:p w14:paraId="59F58F7F" w14:textId="77777777" w:rsidR="0041126D" w:rsidRPr="009578F2" w:rsidRDefault="0041126D" w:rsidP="0041126D">
      <w:pPr>
        <w:pStyle w:val="ListParagraph"/>
        <w:ind w:left="360"/>
        <w:contextualSpacing/>
        <w:rPr>
          <w:rFonts w:ascii="Avenir Next LT Pro" w:hAnsi="Avenir Next LT Pro"/>
          <w:b/>
          <w:i/>
          <w:sz w:val="20"/>
          <w:szCs w:val="20"/>
        </w:rPr>
      </w:pPr>
    </w:p>
    <w:p w14:paraId="3C8EEE01" w14:textId="24D8C37E"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 xml:space="preserve">There are some objectives for which the creation of applicant-determined outputs is not allowed.  These include the Capacity Building and Leverage objective (Capacity Building focus area), the Find Opportunity objective (Economic Opportunity focus area), the Teacher Corps objective (Education focus area), the, and the Access &amp; Attract objective (Veterans and Military Families focus area). For the Capacity Building and Leverage objective, only National Performance Measure outputs are allowed to be used. For the Find Opportunity, Teacher Corps, and Access &amp; Attract objectives, programs are not allowed to create performance measures.  </w:t>
      </w:r>
    </w:p>
    <w:p w14:paraId="524D614C" w14:textId="77777777" w:rsidR="0041126D" w:rsidRPr="009578F2" w:rsidRDefault="0041126D" w:rsidP="0041126D">
      <w:pPr>
        <w:pStyle w:val="ListParagraph"/>
        <w:ind w:left="0"/>
        <w:contextualSpacing/>
        <w:rPr>
          <w:rFonts w:ascii="Avenir Next LT Pro" w:hAnsi="Avenir Next LT Pro"/>
          <w:sz w:val="20"/>
          <w:szCs w:val="20"/>
        </w:rPr>
      </w:pPr>
    </w:p>
    <w:p w14:paraId="7D9A7EA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am required to have a performance measure associated with my primary intervention, but I am not able to create a performance measure for the primary intervention I have selected.  What should I do?</w:t>
      </w:r>
    </w:p>
    <w:p w14:paraId="2AF95835" w14:textId="77777777" w:rsidR="0041126D" w:rsidRPr="009578F2" w:rsidRDefault="0041126D" w:rsidP="0041126D">
      <w:pPr>
        <w:pStyle w:val="ListParagraph"/>
        <w:ind w:left="0"/>
        <w:contextualSpacing/>
        <w:rPr>
          <w:rFonts w:ascii="Avenir Next LT Pro" w:hAnsi="Avenir Next LT Pro"/>
          <w:sz w:val="20"/>
          <w:szCs w:val="20"/>
        </w:rPr>
      </w:pPr>
    </w:p>
    <w:p w14:paraId="3AB9C232" w14:textId="2AD07458" w:rsidR="0041126D"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Since the Find Opportunity, Teacher Corps</w:t>
      </w:r>
      <w:proofErr w:type="gramStart"/>
      <w:r w:rsidRPr="009578F2">
        <w:rPr>
          <w:rFonts w:ascii="Avenir Next LT Pro" w:hAnsi="Avenir Next LT Pro"/>
          <w:sz w:val="20"/>
          <w:szCs w:val="20"/>
        </w:rPr>
        <w:t>, ,</w:t>
      </w:r>
      <w:proofErr w:type="gramEnd"/>
      <w:r w:rsidRPr="009578F2">
        <w:rPr>
          <w:rFonts w:ascii="Avenir Next LT Pro" w:hAnsi="Avenir Next LT Pro"/>
          <w:sz w:val="20"/>
          <w:szCs w:val="20"/>
        </w:rPr>
        <w:t xml:space="preserve"> and Access &amp; Attract objectives are member-focused rather than beneficiary-focused, programs are not allowed to create performance measures under these objectives (see FAQ 9). If your primary intervention is connected to one of those objectives, you will need to go back and select a different primary intervention under a different objective. You can retain the member-focused objective as secondary.</w:t>
      </w:r>
    </w:p>
    <w:p w14:paraId="035BC2F2" w14:textId="77777777" w:rsidR="0041126D" w:rsidRPr="009578F2" w:rsidRDefault="0041126D" w:rsidP="0041126D">
      <w:pPr>
        <w:pStyle w:val="ListParagraph"/>
        <w:ind w:left="0"/>
        <w:contextualSpacing/>
        <w:rPr>
          <w:rFonts w:ascii="Avenir Next LT Pro" w:hAnsi="Avenir Next LT Pro"/>
          <w:sz w:val="20"/>
          <w:szCs w:val="20"/>
        </w:rPr>
      </w:pPr>
    </w:p>
    <w:p w14:paraId="72527C07" w14:textId="77777777" w:rsidR="0041126D" w:rsidRPr="009578F2" w:rsidRDefault="0041126D" w:rsidP="0041126D">
      <w:pPr>
        <w:pStyle w:val="ListParagraph"/>
        <w:numPr>
          <w:ilvl w:val="0"/>
          <w:numId w:val="2"/>
        </w:numPr>
        <w:contextualSpacing/>
        <w:rPr>
          <w:rFonts w:ascii="Avenir Next LT Pro" w:hAnsi="Avenir Next LT Pro"/>
          <w:b/>
          <w:bCs/>
          <w:i/>
          <w:iCs/>
          <w:sz w:val="20"/>
          <w:szCs w:val="20"/>
        </w:rPr>
      </w:pPr>
      <w:r w:rsidRPr="009578F2">
        <w:rPr>
          <w:rFonts w:ascii="Avenir Next LT Pro" w:hAnsi="Avenir Next LT Pro"/>
          <w:b/>
          <w:bCs/>
          <w:i/>
          <w:iCs/>
          <w:sz w:val="20"/>
          <w:szCs w:val="20"/>
        </w:rPr>
        <w:t xml:space="preserve">Under what circumstances is it ok for grantees to use sampling to measure outputs and outcomes? </w:t>
      </w:r>
      <w:r w:rsidRPr="009578F2">
        <w:rPr>
          <w:rFonts w:ascii="Avenir Next LT Pro" w:hAnsi="Avenir Next LT Pro"/>
        </w:rPr>
        <w:tab/>
      </w:r>
    </w:p>
    <w:p w14:paraId="616D08A2" w14:textId="77777777" w:rsidR="0041126D" w:rsidRPr="009578F2" w:rsidRDefault="0041126D" w:rsidP="0041126D">
      <w:pPr>
        <w:spacing w:after="0" w:line="240" w:lineRule="auto"/>
        <w:contextualSpacing/>
        <w:rPr>
          <w:rFonts w:ascii="Avenir Next LT Pro" w:hAnsi="Avenir Next LT Pro"/>
          <w:b/>
          <w:sz w:val="20"/>
          <w:szCs w:val="20"/>
        </w:rPr>
      </w:pPr>
    </w:p>
    <w:p w14:paraId="2EF124DD" w14:textId="31EB04F6"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t>Methodologically speaking, sampling is appropriate for competitive grantees as long as the grantee has a solid plan for ensuring that its sample will be representative. Practically speaking, we would want grantees to use sampling only when they are able to make the case that it is unrealistic to collect data from the whole population. Formula grantees, with rare exceptions granted by AmeriCorps, are not permitted to sample.</w:t>
      </w:r>
      <w:r w:rsidRPr="009578F2">
        <w:rPr>
          <w:rFonts w:ascii="Avenir Next LT Pro" w:hAnsi="Avenir Next LT Pro"/>
          <w:sz w:val="20"/>
          <w:szCs w:val="20"/>
        </w:rPr>
        <w:tab/>
        <w:t xml:space="preserve"> </w:t>
      </w:r>
    </w:p>
    <w:p w14:paraId="74200F58" w14:textId="77777777" w:rsidR="0041126D" w:rsidRPr="009578F2" w:rsidRDefault="0041126D" w:rsidP="0041126D">
      <w:pPr>
        <w:pStyle w:val="ListParagraph"/>
        <w:ind w:left="0"/>
        <w:contextualSpacing/>
        <w:rPr>
          <w:rFonts w:ascii="Avenir Next LT Pro" w:hAnsi="Avenir Next LT Pro"/>
          <w:b/>
          <w:i/>
          <w:sz w:val="20"/>
          <w:szCs w:val="20"/>
        </w:rPr>
      </w:pPr>
    </w:p>
    <w:p w14:paraId="0CF993BD"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When would AmeriCorps not allow sampling? </w:t>
      </w:r>
      <w:r w:rsidRPr="009578F2">
        <w:rPr>
          <w:rFonts w:ascii="Avenir Next LT Pro" w:hAnsi="Avenir Next LT Pro"/>
          <w:b/>
          <w:i/>
          <w:sz w:val="20"/>
          <w:szCs w:val="20"/>
        </w:rPr>
        <w:tab/>
      </w:r>
    </w:p>
    <w:p w14:paraId="5DA57B5F" w14:textId="77777777" w:rsidR="0041126D" w:rsidRPr="009578F2" w:rsidRDefault="0041126D" w:rsidP="0041126D">
      <w:pPr>
        <w:pStyle w:val="ListParagraph"/>
        <w:ind w:left="360"/>
        <w:contextualSpacing/>
        <w:rPr>
          <w:rFonts w:ascii="Avenir Next LT Pro" w:hAnsi="Avenir Next LT Pro"/>
          <w:sz w:val="20"/>
          <w:szCs w:val="20"/>
        </w:rPr>
      </w:pPr>
    </w:p>
    <w:p w14:paraId="307AD0D1"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AmeriCorps will not allow sampling when it is reasonable to expect a grantee to collect data from the whole population. AmeriCorps will also not allow sampling if the grantee’s sampling frame is not sufficient or if the grantee’s methodology will not result in a representative sample.</w:t>
      </w:r>
      <w:r w:rsidRPr="009578F2">
        <w:rPr>
          <w:rFonts w:ascii="Avenir Next LT Pro" w:hAnsi="Avenir Next LT Pro"/>
          <w:sz w:val="20"/>
          <w:szCs w:val="20"/>
        </w:rPr>
        <w:tab/>
      </w:r>
    </w:p>
    <w:p w14:paraId="72A9AB94" w14:textId="77777777" w:rsidR="0041126D" w:rsidRPr="009578F2" w:rsidRDefault="0041126D" w:rsidP="0041126D">
      <w:pPr>
        <w:spacing w:after="0" w:line="240" w:lineRule="auto"/>
        <w:contextualSpacing/>
        <w:rPr>
          <w:rFonts w:ascii="Avenir Next LT Pro" w:hAnsi="Avenir Next LT Pro"/>
          <w:sz w:val="20"/>
          <w:szCs w:val="20"/>
        </w:rPr>
      </w:pPr>
    </w:p>
    <w:p w14:paraId="72283BCE"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does a grantee set targets when it is planning to sample? </w:t>
      </w:r>
      <w:r w:rsidRPr="009578F2">
        <w:rPr>
          <w:rFonts w:ascii="Avenir Next LT Pro" w:hAnsi="Avenir Next LT Pro"/>
          <w:b/>
          <w:i/>
          <w:sz w:val="20"/>
          <w:szCs w:val="20"/>
        </w:rPr>
        <w:tab/>
      </w:r>
    </w:p>
    <w:p w14:paraId="0C8B5589" w14:textId="77777777" w:rsidR="0041126D" w:rsidRPr="009578F2" w:rsidRDefault="0041126D" w:rsidP="0041126D">
      <w:pPr>
        <w:pStyle w:val="ListParagraph"/>
        <w:ind w:left="360"/>
        <w:contextualSpacing/>
        <w:rPr>
          <w:rFonts w:ascii="Avenir Next LT Pro" w:hAnsi="Avenir Next LT Pro"/>
          <w:sz w:val="20"/>
          <w:szCs w:val="20"/>
        </w:rPr>
      </w:pPr>
    </w:p>
    <w:p w14:paraId="585D1A7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In most cases the grantee should be able to set targets based on the population as a whole. If a </w:t>
      </w:r>
      <w:proofErr w:type="gramStart"/>
      <w:r w:rsidRPr="009578F2">
        <w:rPr>
          <w:rFonts w:ascii="Avenir Next LT Pro" w:hAnsi="Avenir Next LT Pro"/>
          <w:sz w:val="20"/>
          <w:szCs w:val="20"/>
        </w:rPr>
        <w:t>grantee‘</w:t>
      </w:r>
      <w:proofErr w:type="gramEnd"/>
      <w:r w:rsidRPr="009578F2">
        <w:rPr>
          <w:rFonts w:ascii="Avenir Next LT Pro" w:hAnsi="Avenir Next LT Pro"/>
          <w:sz w:val="20"/>
          <w:szCs w:val="20"/>
        </w:rPr>
        <w:t>s sampling methodology is sound and results in a representative sample, then the program can extrapolate their results to report on an outcome for the population as a whole. For example, a program reports an output of 1000 children served. The program selects a representative sample of 200 children. Of these, 180 students (90%) demonstrate the desired change. In this case, the program could report an extrapolated outcome of 900 students.</w:t>
      </w:r>
      <w:r w:rsidRPr="009578F2">
        <w:rPr>
          <w:rFonts w:ascii="Avenir Next LT Pro" w:hAnsi="Avenir Next LT Pro"/>
          <w:sz w:val="20"/>
          <w:szCs w:val="20"/>
        </w:rPr>
        <w:tab/>
      </w:r>
    </w:p>
    <w:p w14:paraId="06CC71AB" w14:textId="77777777" w:rsidR="0041126D" w:rsidRPr="009578F2" w:rsidRDefault="0041126D" w:rsidP="0041126D">
      <w:pPr>
        <w:spacing w:after="0" w:line="240" w:lineRule="auto"/>
        <w:contextualSpacing/>
        <w:rPr>
          <w:rFonts w:ascii="Avenir Next LT Pro" w:hAnsi="Avenir Next LT Pro"/>
          <w:b/>
          <w:i/>
          <w:sz w:val="20"/>
          <w:szCs w:val="20"/>
        </w:rPr>
      </w:pPr>
    </w:p>
    <w:p w14:paraId="6C314FF6"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How do I request permission to sample?</w:t>
      </w:r>
    </w:p>
    <w:p w14:paraId="3AD57BF7" w14:textId="77777777" w:rsidR="0041126D" w:rsidRPr="009578F2" w:rsidRDefault="0041126D" w:rsidP="0041126D">
      <w:pPr>
        <w:spacing w:after="0" w:line="240" w:lineRule="auto"/>
        <w:contextualSpacing/>
        <w:rPr>
          <w:rFonts w:ascii="Avenir Next LT Pro" w:hAnsi="Avenir Next LT Pro"/>
          <w:b/>
          <w:i/>
          <w:sz w:val="20"/>
          <w:szCs w:val="20"/>
        </w:rPr>
      </w:pPr>
    </w:p>
    <w:p w14:paraId="2B018647" w14:textId="556785C2"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 detailed sampling plan must be forwarded to AmeriCorps for consideration. Please consult the Notice of Funding Opportunity for instructions on how to submit additional documents.</w:t>
      </w:r>
    </w:p>
    <w:p w14:paraId="74891992" w14:textId="77777777" w:rsidR="0041126D" w:rsidRPr="009578F2" w:rsidRDefault="0041126D" w:rsidP="0041126D">
      <w:pPr>
        <w:spacing w:after="0" w:line="240" w:lineRule="auto"/>
        <w:contextualSpacing/>
        <w:rPr>
          <w:rFonts w:ascii="Avenir Next LT Pro" w:hAnsi="Avenir Next LT Pro"/>
          <w:sz w:val="20"/>
          <w:szCs w:val="20"/>
        </w:rPr>
      </w:pPr>
    </w:p>
    <w:p w14:paraId="4AA6F6B1" w14:textId="77777777" w:rsidR="0041126D" w:rsidRPr="009578F2" w:rsidRDefault="0041126D" w:rsidP="0041126D">
      <w:pPr>
        <w:spacing w:after="0" w:line="240" w:lineRule="auto"/>
        <w:contextualSpacing/>
        <w:rPr>
          <w:rFonts w:ascii="Avenir Next LT Pro" w:hAnsi="Avenir Next LT Pro"/>
          <w:sz w:val="20"/>
          <w:szCs w:val="20"/>
        </w:rPr>
      </w:pPr>
    </w:p>
    <w:p w14:paraId="530F5848" w14:textId="77777777" w:rsidR="005846CB" w:rsidRDefault="005846CB"/>
    <w:sectPr w:rsidR="005846CB">
      <w:footerReference w:type="defaul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F668" w14:textId="77777777" w:rsidR="00E860CF" w:rsidRDefault="00E860CF">
      <w:pPr>
        <w:spacing w:after="0" w:line="240" w:lineRule="auto"/>
      </w:pPr>
      <w:r>
        <w:separator/>
      </w:r>
    </w:p>
  </w:endnote>
  <w:endnote w:type="continuationSeparator" w:id="0">
    <w:p w14:paraId="675F7997" w14:textId="77777777" w:rsidR="00E860CF" w:rsidRDefault="00E860CF">
      <w:pPr>
        <w:spacing w:after="0" w:line="240" w:lineRule="auto"/>
      </w:pPr>
      <w:r>
        <w:continuationSeparator/>
      </w:r>
    </w:p>
  </w:endnote>
  <w:endnote w:type="continuationNotice" w:id="1">
    <w:p w14:paraId="2B96AD20" w14:textId="77777777" w:rsidR="00E860CF" w:rsidRDefault="00E86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auto"/>
    <w:pitch w:val="variable"/>
    <w:sig w:usb0="00000000" w:usb1="7AC7FFFF" w:usb2="00000012" w:usb3="00000000" w:csb0="0002000D" w:csb1="00000000"/>
  </w:font>
  <w:font w:name="Arial Bold Italic">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1BFD" w14:textId="77777777" w:rsidR="00CE3EE1" w:rsidRDefault="0041126D">
    <w:pPr>
      <w:pStyle w:val="Footer"/>
      <w:jc w:val="center"/>
    </w:pPr>
    <w:r>
      <w:fldChar w:fldCharType="begin"/>
    </w:r>
    <w:r>
      <w:instrText xml:space="preserve"> PAGE   \* MERGEFORMAT </w:instrText>
    </w:r>
    <w:r>
      <w:fldChar w:fldCharType="separate"/>
    </w:r>
    <w:r>
      <w:rPr>
        <w:noProof/>
      </w:rPr>
      <w:t>21</w:t>
    </w:r>
    <w:r>
      <w:rPr>
        <w:noProof/>
      </w:rPr>
      <w:fldChar w:fldCharType="end"/>
    </w:r>
  </w:p>
  <w:p w14:paraId="5CD75FB9" w14:textId="77777777" w:rsidR="00CE3EE1" w:rsidRPr="009F0E60" w:rsidRDefault="00CE3EE1">
    <w:pPr>
      <w:pStyle w:val="Footer"/>
      <w:tabs>
        <w:tab w:val="left" w:pos="4245"/>
      </w:tab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123E" w14:textId="77777777" w:rsidR="00E860CF" w:rsidRDefault="00E860CF">
      <w:pPr>
        <w:spacing w:after="0" w:line="240" w:lineRule="auto"/>
      </w:pPr>
      <w:r>
        <w:separator/>
      </w:r>
    </w:p>
  </w:footnote>
  <w:footnote w:type="continuationSeparator" w:id="0">
    <w:p w14:paraId="70FF3385" w14:textId="77777777" w:rsidR="00E860CF" w:rsidRDefault="00E860CF">
      <w:pPr>
        <w:spacing w:after="0" w:line="240" w:lineRule="auto"/>
      </w:pPr>
      <w:r>
        <w:continuationSeparator/>
      </w:r>
    </w:p>
  </w:footnote>
  <w:footnote w:type="continuationNotice" w:id="1">
    <w:p w14:paraId="03694F6C" w14:textId="77777777" w:rsidR="00E860CF" w:rsidRDefault="00E860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6F4"/>
    <w:multiLevelType w:val="hybridMultilevel"/>
    <w:tmpl w:val="BB3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86CE5"/>
    <w:multiLevelType w:val="hybridMultilevel"/>
    <w:tmpl w:val="FD08E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6D"/>
    <w:rsid w:val="00050A9D"/>
    <w:rsid w:val="00065DE5"/>
    <w:rsid w:val="00065EA4"/>
    <w:rsid w:val="000747A5"/>
    <w:rsid w:val="000D7F90"/>
    <w:rsid w:val="00114B27"/>
    <w:rsid w:val="001756E8"/>
    <w:rsid w:val="00192313"/>
    <w:rsid w:val="00197382"/>
    <w:rsid w:val="001C1D03"/>
    <w:rsid w:val="001C5559"/>
    <w:rsid w:val="0020134E"/>
    <w:rsid w:val="00225254"/>
    <w:rsid w:val="00263E46"/>
    <w:rsid w:val="00346A31"/>
    <w:rsid w:val="003478F4"/>
    <w:rsid w:val="003E59E5"/>
    <w:rsid w:val="0041095B"/>
    <w:rsid w:val="0041126D"/>
    <w:rsid w:val="0041399D"/>
    <w:rsid w:val="0043157A"/>
    <w:rsid w:val="00436809"/>
    <w:rsid w:val="0048500F"/>
    <w:rsid w:val="004E04CD"/>
    <w:rsid w:val="004E54FA"/>
    <w:rsid w:val="00521ABF"/>
    <w:rsid w:val="005846CB"/>
    <w:rsid w:val="00596432"/>
    <w:rsid w:val="00631ED2"/>
    <w:rsid w:val="00650671"/>
    <w:rsid w:val="0068690C"/>
    <w:rsid w:val="00694711"/>
    <w:rsid w:val="006B0689"/>
    <w:rsid w:val="00712B69"/>
    <w:rsid w:val="00755377"/>
    <w:rsid w:val="0076198B"/>
    <w:rsid w:val="00777C0C"/>
    <w:rsid w:val="007A1ABB"/>
    <w:rsid w:val="007B14D0"/>
    <w:rsid w:val="007F17E8"/>
    <w:rsid w:val="00855FA6"/>
    <w:rsid w:val="00864279"/>
    <w:rsid w:val="008D3878"/>
    <w:rsid w:val="00931A8D"/>
    <w:rsid w:val="00972E68"/>
    <w:rsid w:val="009C47CD"/>
    <w:rsid w:val="00A06E42"/>
    <w:rsid w:val="00A73EFB"/>
    <w:rsid w:val="00AB26F1"/>
    <w:rsid w:val="00AE4BAD"/>
    <w:rsid w:val="00B17BE9"/>
    <w:rsid w:val="00B21C4E"/>
    <w:rsid w:val="00B31B17"/>
    <w:rsid w:val="00B43B9A"/>
    <w:rsid w:val="00B80FC3"/>
    <w:rsid w:val="00BA351A"/>
    <w:rsid w:val="00BB1303"/>
    <w:rsid w:val="00BC4CDF"/>
    <w:rsid w:val="00C0023F"/>
    <w:rsid w:val="00C11A54"/>
    <w:rsid w:val="00C1635C"/>
    <w:rsid w:val="00C325D5"/>
    <w:rsid w:val="00C37F46"/>
    <w:rsid w:val="00C6509E"/>
    <w:rsid w:val="00C974FA"/>
    <w:rsid w:val="00CB42F1"/>
    <w:rsid w:val="00CC528D"/>
    <w:rsid w:val="00CE125F"/>
    <w:rsid w:val="00CE3EE1"/>
    <w:rsid w:val="00D076C4"/>
    <w:rsid w:val="00D569F4"/>
    <w:rsid w:val="00D917DA"/>
    <w:rsid w:val="00DE12F7"/>
    <w:rsid w:val="00E855D5"/>
    <w:rsid w:val="00E860CF"/>
    <w:rsid w:val="00F575BB"/>
    <w:rsid w:val="00F95DD4"/>
    <w:rsid w:val="00F963E3"/>
    <w:rsid w:val="00FE155D"/>
    <w:rsid w:val="0CC35CB9"/>
    <w:rsid w:val="0F87CF82"/>
    <w:rsid w:val="101D35C0"/>
    <w:rsid w:val="13A15FED"/>
    <w:rsid w:val="13EBA919"/>
    <w:rsid w:val="1AD3E5A5"/>
    <w:rsid w:val="1F6CAC03"/>
    <w:rsid w:val="2231F1EE"/>
    <w:rsid w:val="22F61FEF"/>
    <w:rsid w:val="2F724854"/>
    <w:rsid w:val="338FD3CF"/>
    <w:rsid w:val="397ADF54"/>
    <w:rsid w:val="3ABCBF49"/>
    <w:rsid w:val="3E7A83B0"/>
    <w:rsid w:val="50909591"/>
    <w:rsid w:val="569C6702"/>
    <w:rsid w:val="5779A35C"/>
    <w:rsid w:val="6785A816"/>
    <w:rsid w:val="71EA82CE"/>
    <w:rsid w:val="75E94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595"/>
  <w15:chartTrackingRefBased/>
  <w15:docId w15:val="{39063D0D-08CB-4C13-BEFE-35BAB476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112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112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1126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2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112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1126D"/>
    <w:rPr>
      <w:rFonts w:ascii="Cambria" w:eastAsia="Times New Roman" w:hAnsi="Cambria" w:cs="Times New Roman"/>
      <w:b/>
      <w:bCs/>
      <w:sz w:val="26"/>
      <w:szCs w:val="26"/>
    </w:rPr>
  </w:style>
  <w:style w:type="character" w:styleId="CommentReference">
    <w:name w:val="annotation reference"/>
    <w:uiPriority w:val="99"/>
    <w:unhideWhenUsed/>
    <w:rsid w:val="0041126D"/>
    <w:rPr>
      <w:sz w:val="16"/>
      <w:szCs w:val="16"/>
    </w:rPr>
  </w:style>
  <w:style w:type="paragraph" w:styleId="CommentText">
    <w:name w:val="annotation text"/>
    <w:basedOn w:val="Normal"/>
    <w:link w:val="CommentTextChar"/>
    <w:uiPriority w:val="99"/>
    <w:unhideWhenUsed/>
    <w:rsid w:val="0041126D"/>
    <w:rPr>
      <w:sz w:val="20"/>
      <w:szCs w:val="20"/>
    </w:rPr>
  </w:style>
  <w:style w:type="character" w:customStyle="1" w:styleId="CommentTextChar">
    <w:name w:val="Comment Text Char"/>
    <w:basedOn w:val="DefaultParagraphFont"/>
    <w:link w:val="CommentText"/>
    <w:uiPriority w:val="99"/>
    <w:rsid w:val="0041126D"/>
    <w:rPr>
      <w:rFonts w:ascii="Calibri" w:eastAsia="Calibri" w:hAnsi="Calibri" w:cs="Times New Roman"/>
      <w:sz w:val="20"/>
      <w:szCs w:val="20"/>
    </w:rPr>
  </w:style>
  <w:style w:type="paragraph" w:styleId="BalloonText">
    <w:name w:val="Balloon Text"/>
    <w:basedOn w:val="Normal"/>
    <w:link w:val="BalloonTextChar"/>
    <w:semiHidden/>
    <w:unhideWhenUsed/>
    <w:rsid w:val="0041126D"/>
    <w:rPr>
      <w:rFonts w:ascii="Tahoma" w:hAnsi="Tahoma" w:cs="Tahoma"/>
      <w:sz w:val="16"/>
      <w:szCs w:val="16"/>
    </w:rPr>
  </w:style>
  <w:style w:type="character" w:customStyle="1" w:styleId="BalloonTextChar">
    <w:name w:val="Balloon Text Char"/>
    <w:basedOn w:val="DefaultParagraphFont"/>
    <w:link w:val="BalloonText"/>
    <w:semiHidden/>
    <w:rsid w:val="0041126D"/>
    <w:rPr>
      <w:rFonts w:ascii="Tahoma" w:eastAsia="Calibri" w:hAnsi="Tahoma" w:cs="Tahoma"/>
      <w:sz w:val="16"/>
      <w:szCs w:val="16"/>
    </w:rPr>
  </w:style>
  <w:style w:type="paragraph" w:customStyle="1" w:styleId="FreeForm">
    <w:name w:val="Free Form"/>
    <w:rsid w:val="0041126D"/>
    <w:pPr>
      <w:spacing w:after="0" w:line="240" w:lineRule="auto"/>
    </w:pPr>
    <w:rPr>
      <w:rFonts w:ascii="Times New Roman" w:eastAsia="ヒラギノ角ゴ Pro W3" w:hAnsi="Times New Roman" w:cs="Times New Roman"/>
      <w:color w:val="000000"/>
      <w:sz w:val="20"/>
      <w:szCs w:val="20"/>
    </w:rPr>
  </w:style>
  <w:style w:type="paragraph" w:customStyle="1" w:styleId="Default">
    <w:name w:val="Default"/>
    <w:rsid w:val="0041126D"/>
    <w:pPr>
      <w:spacing w:after="0" w:line="240" w:lineRule="auto"/>
    </w:pPr>
    <w:rPr>
      <w:rFonts w:ascii="Times New Roman" w:eastAsia="ヒラギノ角ゴ Pro W3" w:hAnsi="Times New Roman" w:cs="Times New Roman"/>
      <w:color w:val="000000"/>
      <w:sz w:val="24"/>
      <w:szCs w:val="20"/>
    </w:rPr>
  </w:style>
  <w:style w:type="paragraph" w:styleId="CommentSubject">
    <w:name w:val="annotation subject"/>
    <w:basedOn w:val="CommentText"/>
    <w:next w:val="CommentText"/>
    <w:link w:val="CommentSubjectChar"/>
    <w:unhideWhenUsed/>
    <w:rsid w:val="0041126D"/>
    <w:rPr>
      <w:b/>
      <w:bCs/>
    </w:rPr>
  </w:style>
  <w:style w:type="character" w:customStyle="1" w:styleId="CommentSubjectChar">
    <w:name w:val="Comment Subject Char"/>
    <w:basedOn w:val="CommentTextChar"/>
    <w:link w:val="CommentSubject"/>
    <w:rsid w:val="0041126D"/>
    <w:rPr>
      <w:rFonts w:ascii="Calibri" w:eastAsia="Calibri" w:hAnsi="Calibri" w:cs="Times New Roman"/>
      <w:b/>
      <w:bCs/>
      <w:sz w:val="20"/>
      <w:szCs w:val="20"/>
    </w:rPr>
  </w:style>
  <w:style w:type="paragraph" w:styleId="TOCHeading">
    <w:name w:val="TOC Heading"/>
    <w:basedOn w:val="Heading1"/>
    <w:next w:val="Normal"/>
    <w:uiPriority w:val="39"/>
    <w:qFormat/>
    <w:rsid w:val="0041126D"/>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41126D"/>
    <w:pPr>
      <w:tabs>
        <w:tab w:val="right" w:leader="dot" w:pos="9350"/>
      </w:tabs>
    </w:pPr>
    <w:rPr>
      <w:rFonts w:ascii="Times New Roman" w:eastAsia="Times New Roman" w:hAnsi="Times New Roman"/>
      <w:noProof/>
    </w:rPr>
  </w:style>
  <w:style w:type="paragraph" w:styleId="TOC2">
    <w:name w:val="toc 2"/>
    <w:basedOn w:val="Normal"/>
    <w:next w:val="Normal"/>
    <w:autoRedefine/>
    <w:uiPriority w:val="39"/>
    <w:unhideWhenUsed/>
    <w:rsid w:val="0041126D"/>
    <w:pPr>
      <w:ind w:left="220"/>
    </w:pPr>
  </w:style>
  <w:style w:type="paragraph" w:styleId="TOC3">
    <w:name w:val="toc 3"/>
    <w:basedOn w:val="Normal"/>
    <w:next w:val="Normal"/>
    <w:autoRedefine/>
    <w:uiPriority w:val="39"/>
    <w:unhideWhenUsed/>
    <w:rsid w:val="0041126D"/>
    <w:pPr>
      <w:ind w:left="440"/>
    </w:pPr>
  </w:style>
  <w:style w:type="character" w:styleId="Hyperlink">
    <w:name w:val="Hyperlink"/>
    <w:uiPriority w:val="99"/>
    <w:unhideWhenUsed/>
    <w:rsid w:val="0041126D"/>
    <w:rPr>
      <w:color w:val="0000FF"/>
      <w:u w:val="single"/>
    </w:rPr>
  </w:style>
  <w:style w:type="paragraph" w:styleId="ListParagraph">
    <w:name w:val="List Paragraph"/>
    <w:basedOn w:val="Normal"/>
    <w:uiPriority w:val="34"/>
    <w:qFormat/>
    <w:rsid w:val="0041126D"/>
    <w:pPr>
      <w:spacing w:after="0" w:line="240" w:lineRule="auto"/>
      <w:ind w:left="720"/>
    </w:pPr>
    <w:rPr>
      <w:rFonts w:ascii="Times New Roman" w:hAnsi="Times New Roman"/>
      <w:sz w:val="24"/>
      <w:szCs w:val="24"/>
    </w:rPr>
  </w:style>
  <w:style w:type="paragraph" w:styleId="Header">
    <w:name w:val="header"/>
    <w:basedOn w:val="Normal"/>
    <w:link w:val="HeaderChar"/>
    <w:unhideWhenUsed/>
    <w:rsid w:val="0041126D"/>
    <w:pPr>
      <w:tabs>
        <w:tab w:val="center" w:pos="4680"/>
        <w:tab w:val="right" w:pos="9360"/>
      </w:tabs>
    </w:pPr>
  </w:style>
  <w:style w:type="character" w:customStyle="1" w:styleId="HeaderChar">
    <w:name w:val="Header Char"/>
    <w:basedOn w:val="DefaultParagraphFont"/>
    <w:link w:val="Header"/>
    <w:rsid w:val="0041126D"/>
    <w:rPr>
      <w:rFonts w:ascii="Calibri" w:eastAsia="Calibri" w:hAnsi="Calibri" w:cs="Times New Roman"/>
    </w:rPr>
  </w:style>
  <w:style w:type="paragraph" w:styleId="Footer">
    <w:name w:val="footer"/>
    <w:basedOn w:val="Normal"/>
    <w:link w:val="FooterChar"/>
    <w:uiPriority w:val="99"/>
    <w:unhideWhenUsed/>
    <w:rsid w:val="0041126D"/>
    <w:pPr>
      <w:tabs>
        <w:tab w:val="center" w:pos="4680"/>
        <w:tab w:val="right" w:pos="9360"/>
      </w:tabs>
    </w:pPr>
  </w:style>
  <w:style w:type="character" w:customStyle="1" w:styleId="FooterChar">
    <w:name w:val="Footer Char"/>
    <w:basedOn w:val="DefaultParagraphFont"/>
    <w:link w:val="Footer"/>
    <w:uiPriority w:val="99"/>
    <w:rsid w:val="0041126D"/>
    <w:rPr>
      <w:rFonts w:ascii="Calibri" w:eastAsia="Calibri" w:hAnsi="Calibri" w:cs="Times New Roman"/>
    </w:rPr>
  </w:style>
  <w:style w:type="paragraph" w:customStyle="1" w:styleId="msolistparagraph0">
    <w:name w:val="msolistparagraph"/>
    <w:basedOn w:val="Normal"/>
    <w:rsid w:val="0041126D"/>
    <w:pPr>
      <w:spacing w:after="0" w:line="240" w:lineRule="auto"/>
      <w:ind w:left="720"/>
    </w:pPr>
    <w:rPr>
      <w:rFonts w:eastAsia="Times New Roman"/>
    </w:rPr>
  </w:style>
  <w:style w:type="paragraph" w:customStyle="1" w:styleId="FreeFormA">
    <w:name w:val="Free Form A"/>
    <w:rsid w:val="0041126D"/>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41126D"/>
    <w:rPr>
      <w:color w:val="002FEF"/>
      <w:sz w:val="20"/>
      <w:u w:val="single"/>
    </w:rPr>
  </w:style>
  <w:style w:type="paragraph" w:styleId="Revision">
    <w:name w:val="Revision"/>
    <w:hidden/>
    <w:uiPriority w:val="99"/>
    <w:semiHidden/>
    <w:rsid w:val="0041126D"/>
    <w:pPr>
      <w:spacing w:after="0" w:line="240" w:lineRule="auto"/>
    </w:pPr>
    <w:rPr>
      <w:rFonts w:ascii="Calibri" w:eastAsia="Calibri" w:hAnsi="Calibri" w:cs="Times New Roman"/>
    </w:rPr>
  </w:style>
  <w:style w:type="paragraph" w:customStyle="1" w:styleId="Heading2AA">
    <w:name w:val="Heading 2 A A"/>
    <w:next w:val="Normal"/>
    <w:rsid w:val="0041126D"/>
    <w:pPr>
      <w:keepNext/>
      <w:spacing w:before="240" w:after="60" w:line="240" w:lineRule="auto"/>
      <w:outlineLvl w:val="1"/>
    </w:pPr>
    <w:rPr>
      <w:rFonts w:ascii="Arial Bold Italic" w:eastAsia="ヒラギノ角ゴ Pro W3" w:hAnsi="Arial Bold Italic" w:cs="Times New Roman"/>
      <w:color w:val="000000"/>
      <w:sz w:val="28"/>
      <w:szCs w:val="20"/>
    </w:rPr>
  </w:style>
  <w:style w:type="character" w:customStyle="1" w:styleId="Strong1">
    <w:name w:val="Strong1"/>
    <w:autoRedefine/>
    <w:rsid w:val="0041126D"/>
    <w:rPr>
      <w:rFonts w:ascii="Lucida Grande" w:eastAsia="ヒラギノ角ゴ Pro W3" w:hAnsi="Lucida Grande"/>
      <w:b/>
      <w:i w:val="0"/>
      <w:color w:val="000000"/>
      <w:sz w:val="20"/>
    </w:rPr>
  </w:style>
  <w:style w:type="paragraph" w:customStyle="1" w:styleId="xmsolistparagraph">
    <w:name w:val="x_msolistparagraph"/>
    <w:basedOn w:val="Normal"/>
    <w:rsid w:val="0041126D"/>
    <w:pPr>
      <w:spacing w:before="100" w:beforeAutospacing="1" w:after="100" w:afterAutospacing="1" w:line="240" w:lineRule="auto"/>
    </w:pPr>
    <w:rPr>
      <w:rFonts w:ascii="Times New Roman" w:eastAsia="Times New Roman" w:hAnsi="Times New Roman"/>
      <w:sz w:val="24"/>
      <w:szCs w:val="24"/>
    </w:rPr>
  </w:style>
  <w:style w:type="paragraph" w:customStyle="1" w:styleId="Footer1">
    <w:name w:val="Footer1"/>
    <w:rsid w:val="0041126D"/>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41126D"/>
    <w:rPr>
      <w:color w:val="000000"/>
      <w:sz w:val="20"/>
    </w:rPr>
  </w:style>
  <w:style w:type="paragraph" w:styleId="PlainText">
    <w:name w:val="Plain Text"/>
    <w:basedOn w:val="Normal"/>
    <w:link w:val="PlainTextChar"/>
    <w:uiPriority w:val="99"/>
    <w:unhideWhenUsed/>
    <w:rsid w:val="0041126D"/>
    <w:pPr>
      <w:spacing w:after="0" w:line="240" w:lineRule="auto"/>
    </w:pPr>
    <w:rPr>
      <w:szCs w:val="21"/>
    </w:rPr>
  </w:style>
  <w:style w:type="character" w:customStyle="1" w:styleId="PlainTextChar">
    <w:name w:val="Plain Text Char"/>
    <w:basedOn w:val="DefaultParagraphFont"/>
    <w:link w:val="PlainText"/>
    <w:uiPriority w:val="99"/>
    <w:rsid w:val="0041126D"/>
    <w:rPr>
      <w:rFonts w:ascii="Calibri" w:eastAsia="Calibri" w:hAnsi="Calibri" w:cs="Times New Roman"/>
      <w:szCs w:val="21"/>
    </w:rPr>
  </w:style>
  <w:style w:type="paragraph" w:customStyle="1" w:styleId="box-1">
    <w:name w:val="box-1"/>
    <w:rsid w:val="0041126D"/>
    <w:pPr>
      <w:tabs>
        <w:tab w:val="left" w:pos="1080"/>
      </w:tabs>
      <w:spacing w:after="0" w:line="264" w:lineRule="auto"/>
    </w:pPr>
    <w:rPr>
      <w:rFonts w:ascii="Times New Roman" w:eastAsia="ヒラギノ角ゴ Pro W3" w:hAnsi="Times New Roman" w:cs="Times New Roman"/>
      <w:color w:val="000000"/>
      <w:szCs w:val="20"/>
    </w:rPr>
  </w:style>
  <w:style w:type="paragraph" w:customStyle="1" w:styleId="1-question">
    <w:name w:val="1-question"/>
    <w:rsid w:val="0041126D"/>
    <w:pPr>
      <w:tabs>
        <w:tab w:val="left" w:pos="720"/>
        <w:tab w:val="left" w:pos="1080"/>
        <w:tab w:val="left" w:pos="1440"/>
        <w:tab w:val="left" w:pos="1800"/>
        <w:tab w:val="left" w:pos="9360"/>
      </w:tabs>
      <w:spacing w:after="120" w:line="264" w:lineRule="auto"/>
    </w:pPr>
    <w:rPr>
      <w:rFonts w:ascii="Times New Roman" w:eastAsia="ヒラギノ角ゴ Pro W3" w:hAnsi="Times New Roman" w:cs="Times New Roman"/>
      <w:color w:val="000000"/>
      <w:szCs w:val="20"/>
    </w:rPr>
  </w:style>
  <w:style w:type="paragraph" w:customStyle="1" w:styleId="CommentText1">
    <w:name w:val="Comment Text1"/>
    <w:rsid w:val="0041126D"/>
    <w:pPr>
      <w:spacing w:after="0" w:line="240" w:lineRule="auto"/>
    </w:pPr>
    <w:rPr>
      <w:rFonts w:ascii="Times New Roman" w:eastAsia="ヒラギノ角ゴ Pro W3" w:hAnsi="Times New Roman" w:cs="Times New Roman"/>
      <w:color w:val="000000"/>
      <w:sz w:val="20"/>
      <w:szCs w:val="20"/>
    </w:rPr>
  </w:style>
  <w:style w:type="numbering" w:customStyle="1" w:styleId="NoList1">
    <w:name w:val="No List1"/>
    <w:next w:val="NoList"/>
    <w:semiHidden/>
    <w:rsid w:val="0041126D"/>
  </w:style>
  <w:style w:type="paragraph" w:customStyle="1" w:styleId="FreeFormB">
    <w:name w:val="Free Form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FreeFormAA">
    <w:name w:val="Free Form A A"/>
    <w:rsid w:val="0041126D"/>
    <w:pPr>
      <w:spacing w:after="0" w:line="240" w:lineRule="auto"/>
    </w:pPr>
    <w:rPr>
      <w:rFonts w:ascii="Helvetica" w:eastAsia="ヒラギノ角ゴ Pro W3" w:hAnsi="Helvetica" w:cs="Times New Roman"/>
      <w:color w:val="000000"/>
      <w:sz w:val="24"/>
      <w:szCs w:val="20"/>
    </w:rPr>
  </w:style>
  <w:style w:type="paragraph" w:customStyle="1" w:styleId="BodyBulletA">
    <w:name w:val="Body Bullet A"/>
    <w:rsid w:val="0041126D"/>
    <w:pPr>
      <w:spacing w:after="0" w:line="240" w:lineRule="auto"/>
    </w:pPr>
    <w:rPr>
      <w:rFonts w:ascii="Helvetica" w:eastAsia="ヒラギノ角ゴ Pro W3" w:hAnsi="Helvetica" w:cs="Times New Roman"/>
      <w:color w:val="000000"/>
      <w:sz w:val="24"/>
      <w:szCs w:val="20"/>
    </w:rPr>
  </w:style>
  <w:style w:type="paragraph" w:customStyle="1" w:styleId="FreeFormAB">
    <w:name w:val="Free Form A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Body">
    <w:name w:val="Body"/>
    <w:rsid w:val="0041126D"/>
    <w:pPr>
      <w:spacing w:after="0" w:line="240" w:lineRule="auto"/>
    </w:pPr>
    <w:rPr>
      <w:rFonts w:ascii="Helvetica" w:eastAsia="ヒラギノ角ゴ Pro W3" w:hAnsi="Helvetica" w:cs="Times New Roman"/>
      <w:color w:val="000000"/>
      <w:sz w:val="24"/>
      <w:szCs w:val="20"/>
    </w:rPr>
  </w:style>
  <w:style w:type="paragraph" w:customStyle="1" w:styleId="NormalWeb1">
    <w:name w:val="Normal (Web)1"/>
    <w:rsid w:val="0041126D"/>
    <w:pPr>
      <w:spacing w:before="100" w:after="100" w:line="240" w:lineRule="auto"/>
    </w:pPr>
    <w:rPr>
      <w:rFonts w:ascii="Verdana" w:eastAsia="ヒラギノ角ゴ Pro W3" w:hAnsi="Verdana" w:cs="Times New Roman"/>
      <w:color w:val="000000"/>
      <w:sz w:val="18"/>
      <w:szCs w:val="20"/>
    </w:rPr>
  </w:style>
  <w:style w:type="character" w:customStyle="1" w:styleId="EmphasisA">
    <w:name w:val="Emphasis A"/>
    <w:rsid w:val="0041126D"/>
    <w:rPr>
      <w:rFonts w:ascii="Lucida Grande" w:eastAsia="ヒラギノ角ゴ Pro W3" w:hAnsi="Lucida Grande"/>
      <w:b w:val="0"/>
      <w:i w:val="0"/>
      <w:color w:val="000000"/>
      <w:sz w:val="20"/>
    </w:rPr>
  </w:style>
  <w:style w:type="character" w:customStyle="1" w:styleId="bold">
    <w:name w:val="bold"/>
    <w:rsid w:val="0041126D"/>
    <w:rPr>
      <w:rFonts w:ascii="Verdana Bold" w:eastAsia="ヒラギノ角ゴ Pro W3" w:hAnsi="Verdana Bold"/>
      <w:b w:val="0"/>
      <w:i w:val="0"/>
      <w:vanish w:val="0"/>
      <w:color w:val="000000"/>
      <w:sz w:val="18"/>
    </w:rPr>
  </w:style>
  <w:style w:type="table" w:styleId="TableGrid">
    <w:name w:val="Table Grid"/>
    <w:basedOn w:val="TableNormal"/>
    <w:rsid w:val="0041126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b0">
    <w:name w:val="freeformb"/>
    <w:basedOn w:val="Normal"/>
    <w:rsid w:val="0041126D"/>
    <w:pPr>
      <w:spacing w:after="0" w:line="240" w:lineRule="auto"/>
    </w:pPr>
    <w:rPr>
      <w:rFonts w:ascii="Times New Roman" w:eastAsia="Times New Roman" w:hAnsi="Times New Roman"/>
      <w:color w:val="000000"/>
      <w:sz w:val="20"/>
      <w:szCs w:val="20"/>
    </w:rPr>
  </w:style>
  <w:style w:type="paragraph" w:customStyle="1" w:styleId="freeformaa0">
    <w:name w:val="freeformaa"/>
    <w:basedOn w:val="Normal"/>
    <w:rsid w:val="0041126D"/>
    <w:pPr>
      <w:spacing w:after="0" w:line="240" w:lineRule="auto"/>
    </w:pPr>
    <w:rPr>
      <w:rFonts w:ascii="Helvetica" w:eastAsia="Times New Roman" w:hAnsi="Helvetica" w:cs="Helvetica"/>
      <w:color w:val="000000"/>
      <w:sz w:val="24"/>
      <w:szCs w:val="24"/>
    </w:rPr>
  </w:style>
  <w:style w:type="paragraph" w:customStyle="1" w:styleId="bodybulleta0">
    <w:name w:val="bodybulleta"/>
    <w:basedOn w:val="Normal"/>
    <w:rsid w:val="0041126D"/>
    <w:pPr>
      <w:spacing w:after="0" w:line="240" w:lineRule="auto"/>
    </w:pPr>
    <w:rPr>
      <w:rFonts w:ascii="Helvetica" w:eastAsia="Times New Roman" w:hAnsi="Helvetica" w:cs="Helvetica"/>
      <w:color w:val="000000"/>
      <w:sz w:val="24"/>
      <w:szCs w:val="24"/>
    </w:rPr>
  </w:style>
  <w:style w:type="paragraph" w:styleId="FootnoteText">
    <w:name w:val="footnote text"/>
    <w:basedOn w:val="Normal"/>
    <w:link w:val="FootnoteTextChar"/>
    <w:uiPriority w:val="99"/>
    <w:rsid w:val="0041126D"/>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rsid w:val="0041126D"/>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1126D"/>
  </w:style>
  <w:style w:type="character" w:styleId="FollowedHyperlink">
    <w:name w:val="FollowedHyperlink"/>
    <w:rsid w:val="0041126D"/>
    <w:rPr>
      <w:color w:val="800080"/>
      <w:u w:val="single"/>
    </w:rPr>
  </w:style>
  <w:style w:type="numbering" w:customStyle="1" w:styleId="NoList2">
    <w:name w:val="No List2"/>
    <w:next w:val="NoList"/>
    <w:uiPriority w:val="99"/>
    <w:semiHidden/>
    <w:unhideWhenUsed/>
    <w:rsid w:val="0041126D"/>
  </w:style>
  <w:style w:type="character" w:customStyle="1" w:styleId="CharChar4">
    <w:name w:val="Char Char4"/>
    <w:rsid w:val="0041126D"/>
  </w:style>
  <w:style w:type="character" w:customStyle="1" w:styleId="CharChar2">
    <w:name w:val="Char Char2"/>
    <w:rsid w:val="0041126D"/>
    <w:rPr>
      <w:rFonts w:eastAsia="ヒラギノ角ゴ Pro W3"/>
      <w:color w:val="000000"/>
    </w:rPr>
  </w:style>
  <w:style w:type="character" w:customStyle="1" w:styleId="CharChar6">
    <w:name w:val="Char Char6"/>
    <w:rsid w:val="0041126D"/>
    <w:rPr>
      <w:rFonts w:ascii="Cambria" w:eastAsia="Times New Roman" w:hAnsi="Cambria" w:cs="Times New Roman"/>
      <w:b/>
      <w:bCs/>
      <w:i/>
      <w:iCs/>
      <w:sz w:val="28"/>
      <w:szCs w:val="28"/>
    </w:rPr>
  </w:style>
  <w:style w:type="paragraph" w:styleId="TOC4">
    <w:name w:val="toc 4"/>
    <w:basedOn w:val="Normal"/>
    <w:next w:val="Normal"/>
    <w:autoRedefine/>
    <w:semiHidden/>
    <w:rsid w:val="0041126D"/>
    <w:pPr>
      <w:spacing w:after="0" w:line="240" w:lineRule="auto"/>
      <w:ind w:left="720"/>
    </w:pPr>
    <w:rPr>
      <w:rFonts w:ascii="Times New Roman" w:eastAsia="ヒラギノ角ゴ Pro W3" w:hAnsi="Times New Roman"/>
      <w:color w:val="000000"/>
      <w:sz w:val="18"/>
      <w:szCs w:val="18"/>
    </w:rPr>
  </w:style>
  <w:style w:type="paragraph" w:styleId="TOC5">
    <w:name w:val="toc 5"/>
    <w:basedOn w:val="Normal"/>
    <w:next w:val="Normal"/>
    <w:autoRedefine/>
    <w:semiHidden/>
    <w:rsid w:val="0041126D"/>
    <w:pPr>
      <w:spacing w:after="0" w:line="240" w:lineRule="auto"/>
      <w:ind w:left="960"/>
    </w:pPr>
    <w:rPr>
      <w:rFonts w:ascii="Times New Roman" w:eastAsia="ヒラギノ角ゴ Pro W3" w:hAnsi="Times New Roman"/>
      <w:color w:val="000000"/>
      <w:sz w:val="18"/>
      <w:szCs w:val="18"/>
    </w:rPr>
  </w:style>
  <w:style w:type="paragraph" w:styleId="TOC6">
    <w:name w:val="toc 6"/>
    <w:basedOn w:val="Normal"/>
    <w:next w:val="Normal"/>
    <w:autoRedefine/>
    <w:semiHidden/>
    <w:rsid w:val="0041126D"/>
    <w:pPr>
      <w:spacing w:after="0" w:line="240" w:lineRule="auto"/>
      <w:ind w:left="1200"/>
    </w:pPr>
    <w:rPr>
      <w:rFonts w:ascii="Times New Roman" w:eastAsia="ヒラギノ角ゴ Pro W3" w:hAnsi="Times New Roman"/>
      <w:color w:val="000000"/>
      <w:sz w:val="18"/>
      <w:szCs w:val="18"/>
    </w:rPr>
  </w:style>
  <w:style w:type="paragraph" w:styleId="TOC7">
    <w:name w:val="toc 7"/>
    <w:basedOn w:val="Normal"/>
    <w:next w:val="Normal"/>
    <w:autoRedefine/>
    <w:semiHidden/>
    <w:rsid w:val="0041126D"/>
    <w:pPr>
      <w:spacing w:after="0" w:line="240" w:lineRule="auto"/>
      <w:ind w:left="1440"/>
    </w:pPr>
    <w:rPr>
      <w:rFonts w:ascii="Times New Roman" w:eastAsia="ヒラギノ角ゴ Pro W3" w:hAnsi="Times New Roman"/>
      <w:color w:val="000000"/>
      <w:sz w:val="18"/>
      <w:szCs w:val="18"/>
    </w:rPr>
  </w:style>
  <w:style w:type="paragraph" w:styleId="TOC8">
    <w:name w:val="toc 8"/>
    <w:basedOn w:val="Normal"/>
    <w:next w:val="Normal"/>
    <w:autoRedefine/>
    <w:semiHidden/>
    <w:rsid w:val="0041126D"/>
    <w:pPr>
      <w:spacing w:after="0" w:line="240" w:lineRule="auto"/>
      <w:ind w:left="1680"/>
    </w:pPr>
    <w:rPr>
      <w:rFonts w:ascii="Times New Roman" w:eastAsia="ヒラギノ角ゴ Pro W3" w:hAnsi="Times New Roman"/>
      <w:color w:val="000000"/>
      <w:sz w:val="18"/>
      <w:szCs w:val="18"/>
    </w:rPr>
  </w:style>
  <w:style w:type="paragraph" w:styleId="TOC9">
    <w:name w:val="toc 9"/>
    <w:basedOn w:val="Normal"/>
    <w:next w:val="Normal"/>
    <w:autoRedefine/>
    <w:semiHidden/>
    <w:rsid w:val="0041126D"/>
    <w:pPr>
      <w:spacing w:after="0" w:line="240" w:lineRule="auto"/>
      <w:ind w:left="1920"/>
    </w:pPr>
    <w:rPr>
      <w:rFonts w:ascii="Times New Roman" w:eastAsia="ヒラギノ角ゴ Pro W3" w:hAnsi="Times New Roman"/>
      <w:color w:val="000000"/>
      <w:sz w:val="18"/>
      <w:szCs w:val="18"/>
    </w:rPr>
  </w:style>
  <w:style w:type="paragraph" w:styleId="EndnoteText">
    <w:name w:val="endnote text"/>
    <w:basedOn w:val="Normal"/>
    <w:link w:val="EndnoteTextChar"/>
    <w:rsid w:val="0041126D"/>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41126D"/>
    <w:rPr>
      <w:rFonts w:ascii="Times New Roman" w:eastAsia="Times New Roman" w:hAnsi="Times New Roman" w:cs="Times New Roman"/>
      <w:sz w:val="20"/>
      <w:szCs w:val="20"/>
    </w:rPr>
  </w:style>
  <w:style w:type="character" w:styleId="EndnoteReference">
    <w:name w:val="endnote reference"/>
    <w:rsid w:val="0041126D"/>
    <w:rPr>
      <w:vertAlign w:val="superscript"/>
    </w:rPr>
  </w:style>
  <w:style w:type="character" w:styleId="Strong">
    <w:name w:val="Strong"/>
    <w:uiPriority w:val="22"/>
    <w:qFormat/>
    <w:rsid w:val="0041126D"/>
    <w:rPr>
      <w:b/>
      <w:bCs/>
    </w:rPr>
  </w:style>
  <w:style w:type="paragraph" w:styleId="NormalWeb">
    <w:name w:val="Normal (Web)"/>
    <w:basedOn w:val="Normal"/>
    <w:uiPriority w:val="99"/>
    <w:unhideWhenUsed/>
    <w:rsid w:val="0041126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1126D"/>
    <w:rPr>
      <w:b/>
      <w:bCs/>
      <w:i w:val="0"/>
      <w:iCs w:val="0"/>
    </w:rPr>
  </w:style>
  <w:style w:type="character" w:styleId="IntenseEmphasis">
    <w:name w:val="Intense Emphasis"/>
    <w:uiPriority w:val="21"/>
    <w:qFormat/>
    <w:rsid w:val="0041126D"/>
    <w:rPr>
      <w:b/>
      <w:bCs/>
      <w:i/>
      <w:iCs/>
      <w:color w:val="4F81BD"/>
    </w:rPr>
  </w:style>
  <w:style w:type="character" w:customStyle="1" w:styleId="reference-text">
    <w:name w:val="reference-text"/>
    <w:rsid w:val="0041126D"/>
  </w:style>
  <w:style w:type="paragraph" w:styleId="NoSpacing">
    <w:name w:val="No Spacing"/>
    <w:uiPriority w:val="1"/>
    <w:qFormat/>
    <w:rsid w:val="0041126D"/>
    <w:pPr>
      <w:spacing w:after="0" w:line="240" w:lineRule="auto"/>
    </w:pPr>
    <w:rPr>
      <w:rFonts w:ascii="Calibri" w:eastAsia="Calibri" w:hAnsi="Calibri" w:cs="Times New Roman"/>
    </w:rPr>
  </w:style>
  <w:style w:type="paragraph" w:customStyle="1" w:styleId="Style1">
    <w:name w:val="Style1"/>
    <w:basedOn w:val="Normal"/>
    <w:link w:val="Style1Char"/>
    <w:qFormat/>
    <w:rsid w:val="0041126D"/>
    <w:pPr>
      <w:spacing w:after="0" w:line="240" w:lineRule="auto"/>
      <w:contextualSpacing/>
      <w:jc w:val="center"/>
    </w:pPr>
    <w:rPr>
      <w:rFonts w:ascii="Times New Roman" w:hAnsi="Times New Roman"/>
      <w:b/>
      <w:sz w:val="20"/>
      <w:szCs w:val="20"/>
    </w:rPr>
  </w:style>
  <w:style w:type="paragraph" w:customStyle="1" w:styleId="Style2">
    <w:name w:val="Style2"/>
    <w:basedOn w:val="Heading1"/>
    <w:link w:val="Style2Char"/>
    <w:qFormat/>
    <w:rsid w:val="0041126D"/>
    <w:pPr>
      <w:spacing w:after="0" w:line="240" w:lineRule="auto"/>
      <w:contextualSpacing/>
    </w:pPr>
    <w:rPr>
      <w:rFonts w:ascii="Times New Roman" w:hAnsi="Times New Roman"/>
      <w:sz w:val="20"/>
      <w:szCs w:val="20"/>
    </w:rPr>
  </w:style>
  <w:style w:type="character" w:customStyle="1" w:styleId="Style1Char">
    <w:name w:val="Style1 Char"/>
    <w:link w:val="Style1"/>
    <w:rsid w:val="0041126D"/>
    <w:rPr>
      <w:rFonts w:ascii="Times New Roman" w:eastAsia="Calibri" w:hAnsi="Times New Roman" w:cs="Times New Roman"/>
      <w:b/>
      <w:sz w:val="20"/>
      <w:szCs w:val="20"/>
    </w:rPr>
  </w:style>
  <w:style w:type="character" w:customStyle="1" w:styleId="Style2Char">
    <w:name w:val="Style2 Char"/>
    <w:link w:val="Style2"/>
    <w:rsid w:val="0041126D"/>
    <w:rPr>
      <w:rFonts w:ascii="Times New Roman" w:eastAsia="Times New Roman" w:hAnsi="Times New Roman" w:cs="Times New Roman"/>
      <w:b/>
      <w:bCs/>
      <w:kern w:val="32"/>
      <w:sz w:val="20"/>
      <w:szCs w:val="20"/>
    </w:rPr>
  </w:style>
  <w:style w:type="character" w:styleId="Mention">
    <w:name w:val="Mention"/>
    <w:basedOn w:val="DefaultParagraphFont"/>
    <w:uiPriority w:val="99"/>
    <w:unhideWhenUsed/>
    <w:rsid w:val="001756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938583a-4f1e-4a79-82ea-a10dc58f89b5" xsi:nil="true"/>
    <lcf76f155ced4ddcb4097134ff3c332f xmlns="49cc603d-5dec-4ab5-bdc9-e731f64898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6e09503b32750c00298b3a1ddb86e0c6">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3db613eb7008b1046e9b01c5031d0b2"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82369-A1C3-4ECF-8F01-091F099D2CD6}">
  <ds:schemaRefs>
    <ds:schemaRef ds:uri="http://schemas.microsoft.com/office/2006/metadata/properties"/>
    <ds:schemaRef ds:uri="http://schemas.microsoft.com/office/infopath/2007/PartnerControls"/>
    <ds:schemaRef ds:uri="http://schemas.microsoft.com/sharepoint/v3"/>
    <ds:schemaRef ds:uri="ddb52bc2-8d76-44e2-acaa-ded76e794716"/>
    <ds:schemaRef ds:uri="2ca0ce03-8265-4dd9-a9a3-2388fd385e2a"/>
  </ds:schemaRefs>
</ds:datastoreItem>
</file>

<file path=customXml/itemProps2.xml><?xml version="1.0" encoding="utf-8"?>
<ds:datastoreItem xmlns:ds="http://schemas.openxmlformats.org/officeDocument/2006/customXml" ds:itemID="{24788F86-DC28-4948-9E8B-4C37032EC6C3}"/>
</file>

<file path=customXml/itemProps3.xml><?xml version="1.0" encoding="utf-8"?>
<ds:datastoreItem xmlns:ds="http://schemas.openxmlformats.org/officeDocument/2006/customXml" ds:itemID="{756F8B7B-A51E-4EDB-A417-D398405C6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9931</Words>
  <Characters>56613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dc:description/>
  <cp:lastModifiedBy>Patterson1, Theresa</cp:lastModifiedBy>
  <cp:revision>2</cp:revision>
  <cp:lastPrinted>2024-08-05T19:57:00Z</cp:lastPrinted>
  <dcterms:created xsi:type="dcterms:W3CDTF">2026-03-16T20:19:00Z</dcterms:created>
  <dcterms:modified xsi:type="dcterms:W3CDTF">2026-03-16T20:19:00Z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y fmtid="{D5CDD505-2E9C-101B-9397-08002B2CF9AE}" pid="3" name="_dlc_DocIdItemGuid">
    <vt:lpwstr>dd56821f-06f3-4044-b6bc-6379f877c145</vt:lpwstr>
  </property>
  <property fmtid="{D5CDD505-2E9C-101B-9397-08002B2CF9AE}" pid="4" name="MediaServiceImageTags">
    <vt:lpwstr/>
  </property>
</Properties>
</file>